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F7865" w:rsidR="00235E98" w:rsidP="00235E98" w:rsidRDefault="00235E98" w14:paraId="7D0C5B59" w14:textId="5B25DE82">
      <w:pPr>
        <w:pStyle w:val="Heading1"/>
      </w:pPr>
      <w:r w:rsidRPr="003F7865">
        <w:t>M22</w:t>
      </w:r>
      <w:r w:rsidR="00216D32">
        <w:t>.</w:t>
      </w:r>
      <w:r w:rsidRPr="003F7865">
        <w:t>0</w:t>
      </w:r>
      <w:r>
        <w:t>15</w:t>
      </w:r>
      <w:r w:rsidR="00216D32">
        <w:t>.</w:t>
      </w:r>
      <w:r>
        <w:t>Inventarizácia majetku</w:t>
      </w:r>
    </w:p>
    <w:p w:rsidRPr="0042399B" w:rsidR="00235E98" w:rsidP="00235E98" w:rsidRDefault="00705BE2" w14:paraId="5E19653C" w14:textId="3A8F2A2A">
      <w:pPr>
        <w:keepNext/>
        <w:jc w:val="center"/>
        <w:rPr>
          <w:rFonts w:eastAsia="Times New Roman" w:cstheme="minorHAnsi"/>
          <w:lang w:eastAsia="sk-SK"/>
        </w:rPr>
      </w:pPr>
      <w:r>
        <w:rPr>
          <w:noProof/>
        </w:rPr>
        <w:drawing>
          <wp:inline distT="0" distB="0" distL="0" distR="0" wp14:anchorId="21515E68" wp14:editId="5A089298">
            <wp:extent cx="5498013" cy="7169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1010" cy="717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98" w:rsidP="006469FF" w:rsidRDefault="00235E98" w14:paraId="0F4D8B09" w14:textId="1F5D8DC4">
      <w:pPr>
        <w:keepNext/>
        <w:jc w:val="center"/>
        <w:rPr>
          <w:rFonts w:cstheme="minorHAnsi"/>
        </w:rPr>
      </w:pPr>
      <w:r w:rsidRPr="003F7865">
        <w:rPr>
          <w:rFonts w:cstheme="minorHAnsi"/>
          <w:i/>
          <w:iCs/>
          <w:color w:val="44546A" w:themeColor="text2"/>
        </w:rPr>
        <w:t xml:space="preserve">Obrázok </w:t>
      </w:r>
      <w:r w:rsidRPr="003F7865">
        <w:rPr>
          <w:rFonts w:cstheme="minorHAnsi"/>
          <w:i/>
          <w:iCs/>
          <w:color w:val="44546A" w:themeColor="text2"/>
        </w:rPr>
        <w:fldChar w:fldCharType="begin"/>
      </w:r>
      <w:r w:rsidRPr="003F7865">
        <w:rPr>
          <w:rFonts w:cstheme="minorHAnsi"/>
          <w:i/>
          <w:iCs/>
          <w:color w:val="44546A" w:themeColor="text2"/>
        </w:rPr>
        <w:instrText xml:space="preserve"> SEQ Obrázok \* ARABIC </w:instrText>
      </w:r>
      <w:r w:rsidRPr="003F7865">
        <w:rPr>
          <w:rFonts w:cstheme="minorHAnsi"/>
          <w:i/>
          <w:iCs/>
          <w:color w:val="44546A" w:themeColor="text2"/>
        </w:rPr>
        <w:fldChar w:fldCharType="separate"/>
      </w:r>
      <w:r w:rsidRPr="003F7865">
        <w:rPr>
          <w:rFonts w:cstheme="minorHAnsi"/>
          <w:i/>
          <w:iCs/>
          <w:noProof/>
          <w:color w:val="44546A" w:themeColor="text2"/>
        </w:rPr>
        <w:t>1</w:t>
      </w:r>
      <w:r w:rsidRPr="003F7865">
        <w:rPr>
          <w:rFonts w:cstheme="minorHAnsi"/>
          <w:i/>
          <w:iCs/>
          <w:color w:val="44546A" w:themeColor="text2"/>
        </w:rPr>
        <w:fldChar w:fldCharType="end"/>
      </w:r>
      <w:r w:rsidRPr="003F7865">
        <w:rPr>
          <w:rFonts w:cstheme="minorHAnsi"/>
          <w:i/>
          <w:iCs/>
          <w:color w:val="44546A" w:themeColor="text2"/>
        </w:rPr>
        <w:t xml:space="preserve"> </w:t>
      </w:r>
      <w:r>
        <w:rPr>
          <w:rFonts w:cstheme="minorHAnsi"/>
          <w:i/>
          <w:iCs/>
          <w:color w:val="44546A" w:themeColor="text2"/>
        </w:rPr>
        <w:t>–</w:t>
      </w:r>
      <w:r w:rsidRPr="003F7865">
        <w:rPr>
          <w:rFonts w:cstheme="minorHAnsi"/>
          <w:i/>
          <w:iCs/>
          <w:color w:val="44546A" w:themeColor="text2"/>
        </w:rPr>
        <w:t xml:space="preserve"> </w:t>
      </w:r>
      <w:r>
        <w:rPr>
          <w:rFonts w:cstheme="minorHAnsi"/>
          <w:i/>
          <w:iCs/>
          <w:color w:val="44546A" w:themeColor="text2"/>
        </w:rPr>
        <w:t>Inventarizácia majetku</w:t>
      </w:r>
    </w:p>
    <w:p w:rsidR="00235E98" w:rsidP="00235E98" w:rsidRDefault="00235E98" w14:paraId="2CDBA2C0" w14:textId="051B7386">
      <w:pPr>
        <w:pStyle w:val="Heading2"/>
      </w:pPr>
      <w:r w:rsidRPr="003F7865">
        <w:lastRenderedPageBreak/>
        <w:t>1.1 Popis procesu  </w:t>
      </w:r>
    </w:p>
    <w:p w:rsidRPr="00DD48F5" w:rsidR="00235E98" w:rsidP="00235E98" w:rsidRDefault="00235E98" w14:paraId="00FF685C" w14:textId="5836877A">
      <w:pPr>
        <w:pStyle w:val="NoSpacing"/>
      </w:pPr>
      <w:r w:rsidRPr="00DD48F5">
        <w:t>Aplikácia IMA podporuje aktivity prípravy, spracovania a vyhodnotenia inventarizácie majetku a prípravu dát na inventarizáciu majetku</w:t>
      </w:r>
      <w:r>
        <w:t xml:space="preserve"> s podporou čiarového kódu</w:t>
      </w:r>
      <w:r w:rsidRPr="00DD48F5">
        <w:t xml:space="preserve">. </w:t>
      </w:r>
    </w:p>
    <w:p w:rsidRPr="00204FB7" w:rsidR="00235E98" w:rsidP="00235E98" w:rsidRDefault="00235E98" w14:paraId="61534545" w14:textId="74D69F49">
      <w:pPr>
        <w:spacing w:before="100" w:beforeAutospacing="1" w:after="100" w:afterAutospacing="1"/>
        <w:jc w:val="both"/>
        <w:textAlignment w:val="baseline"/>
        <w:rPr>
          <w:rFonts w:eastAsia="Times New Roman" w:cstheme="minorHAnsi"/>
          <w:lang w:eastAsia="sk-SK"/>
        </w:rPr>
      </w:pPr>
      <w:r w:rsidRPr="00D60C60">
        <w:rPr>
          <w:rFonts w:eastAsia="Times New Roman" w:cstheme="minorHAnsi"/>
          <w:lang w:eastAsia="sk-SK"/>
        </w:rPr>
        <w:t>Aplikácia</w:t>
      </w:r>
      <w:r w:rsidRPr="00204FB7">
        <w:rPr>
          <w:rFonts w:eastAsia="Times New Roman" w:cstheme="minorHAnsi"/>
          <w:lang w:eastAsia="sk-SK"/>
        </w:rPr>
        <w:t xml:space="preserve"> IMA rozširuje štandardnú funkcionalitu EIS CES v oblasti evidencie a správy majetku</w:t>
      </w:r>
      <w:r w:rsidRPr="00D60C60">
        <w:rPr>
          <w:rFonts w:eastAsia="Times New Roman" w:cstheme="minorHAnsi"/>
          <w:lang w:eastAsia="sk-SK"/>
        </w:rPr>
        <w:t xml:space="preserve"> modulu FI-AA</w:t>
      </w:r>
      <w:r w:rsidRPr="00204FB7">
        <w:rPr>
          <w:rFonts w:eastAsia="Times New Roman" w:cstheme="minorHAnsi"/>
          <w:lang w:eastAsia="sk-SK"/>
        </w:rPr>
        <w:t>. Umožňuje označovanie majetk</w:t>
      </w:r>
      <w:r>
        <w:rPr>
          <w:rFonts w:eastAsia="Times New Roman" w:cstheme="minorHAnsi"/>
          <w:lang w:eastAsia="sk-SK"/>
        </w:rPr>
        <w:t>u evidovaného v module FI-AA a miestností, v rámci ktorých je evidovaný majetok</w:t>
      </w:r>
      <w:r w:rsidRPr="00204FB7">
        <w:rPr>
          <w:rFonts w:eastAsia="Times New Roman" w:cstheme="minorHAnsi"/>
          <w:lang w:eastAsia="sk-SK"/>
        </w:rPr>
        <w:t xml:space="preserve"> prostredníctvom čiarových kódov</w:t>
      </w:r>
      <w:r>
        <w:rPr>
          <w:rFonts w:eastAsia="Times New Roman" w:cstheme="minorHAnsi"/>
          <w:lang w:eastAsia="sk-SK"/>
        </w:rPr>
        <w:t>.</w:t>
      </w:r>
      <w:r w:rsidRPr="00204FB7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Aplikácia z</w:t>
      </w:r>
      <w:r w:rsidRPr="00204FB7">
        <w:rPr>
          <w:rFonts w:eastAsia="Times New Roman" w:cstheme="minorHAnsi"/>
          <w:lang w:eastAsia="sk-SK"/>
        </w:rPr>
        <w:t>jednodušuje a automatizuje proces evidencie majetku a jeho inventarizáci</w:t>
      </w:r>
      <w:r>
        <w:rPr>
          <w:rFonts w:eastAsia="Times New Roman" w:cstheme="minorHAnsi"/>
          <w:lang w:eastAsia="sk-SK"/>
        </w:rPr>
        <w:t>u v prostredí systému CES</w:t>
      </w:r>
      <w:r w:rsidRPr="00204FB7">
        <w:rPr>
          <w:rFonts w:eastAsia="Times New Roman" w:cstheme="minorHAnsi"/>
          <w:lang w:eastAsia="sk-SK"/>
        </w:rPr>
        <w:t xml:space="preserve">. V rámci </w:t>
      </w:r>
      <w:r w:rsidRPr="00D60C60">
        <w:rPr>
          <w:rFonts w:eastAsia="Times New Roman" w:cstheme="minorHAnsi"/>
          <w:lang w:eastAsia="sk-SK"/>
        </w:rPr>
        <w:t>aplikácie</w:t>
      </w:r>
      <w:r w:rsidRPr="00204FB7">
        <w:rPr>
          <w:rFonts w:eastAsia="Times New Roman" w:cstheme="minorHAnsi"/>
          <w:lang w:eastAsia="sk-SK"/>
        </w:rPr>
        <w:t xml:space="preserve"> IMA </w:t>
      </w:r>
      <w:r w:rsidRPr="00D60C60">
        <w:rPr>
          <w:rFonts w:eastAsia="Times New Roman" w:cstheme="minorHAnsi"/>
          <w:lang w:eastAsia="sk-SK"/>
        </w:rPr>
        <w:t xml:space="preserve">je </w:t>
      </w:r>
      <w:r w:rsidRPr="00204FB7">
        <w:rPr>
          <w:rFonts w:eastAsia="Times New Roman" w:cstheme="minorHAnsi"/>
          <w:lang w:eastAsia="sk-SK"/>
        </w:rPr>
        <w:t>implementovan</w:t>
      </w:r>
      <w:r w:rsidRPr="00D60C60">
        <w:rPr>
          <w:rFonts w:eastAsia="Times New Roman" w:cstheme="minorHAnsi"/>
          <w:lang w:eastAsia="sk-SK"/>
        </w:rPr>
        <w:t>é</w:t>
      </w:r>
      <w:r w:rsidRPr="00204FB7">
        <w:rPr>
          <w:rFonts w:eastAsia="Times New Roman" w:cstheme="minorHAnsi"/>
          <w:lang w:eastAsia="sk-SK"/>
        </w:rPr>
        <w:t xml:space="preserve">  priam</w:t>
      </w:r>
      <w:r w:rsidRPr="00D60C60">
        <w:rPr>
          <w:rFonts w:eastAsia="Times New Roman" w:cstheme="minorHAnsi"/>
          <w:lang w:eastAsia="sk-SK"/>
        </w:rPr>
        <w:t>e</w:t>
      </w:r>
      <w:r w:rsidRPr="00204FB7">
        <w:rPr>
          <w:rFonts w:eastAsia="Times New Roman" w:cstheme="minorHAnsi"/>
          <w:lang w:eastAsia="sk-SK"/>
        </w:rPr>
        <w:t xml:space="preserve"> prepoje</w:t>
      </w:r>
      <w:r w:rsidRPr="00D60C60">
        <w:rPr>
          <w:rFonts w:eastAsia="Times New Roman" w:cstheme="minorHAnsi"/>
          <w:lang w:eastAsia="sk-SK"/>
        </w:rPr>
        <w:t>nie</w:t>
      </w:r>
      <w:r w:rsidRPr="00204FB7">
        <w:rPr>
          <w:rFonts w:eastAsia="Times New Roman" w:cstheme="minorHAnsi"/>
          <w:lang w:eastAsia="sk-SK"/>
        </w:rPr>
        <w:t xml:space="preserve"> na modul FI-AA. Uvedená aplikácia bude pokrývať funkcie procesu inventarizácie od nastavenia</w:t>
      </w:r>
      <w:r>
        <w:rPr>
          <w:rFonts w:eastAsia="Times New Roman" w:cstheme="minorHAnsi"/>
          <w:lang w:eastAsia="sk-SK"/>
        </w:rPr>
        <w:t>, tvorby komisií realizujúcich inventarizáciu,</w:t>
      </w:r>
      <w:r w:rsidRPr="00204FB7">
        <w:rPr>
          <w:rFonts w:eastAsia="Times New Roman" w:cstheme="minorHAnsi"/>
          <w:lang w:eastAsia="sk-SK"/>
        </w:rPr>
        <w:t xml:space="preserve"> prípravy </w:t>
      </w:r>
      <w:r>
        <w:rPr>
          <w:rFonts w:eastAsia="Times New Roman" w:cstheme="minorHAnsi"/>
          <w:lang w:eastAsia="sk-SK"/>
        </w:rPr>
        <w:t xml:space="preserve">a stanovení </w:t>
      </w:r>
      <w:r w:rsidRPr="00204FB7">
        <w:rPr>
          <w:rFonts w:eastAsia="Times New Roman" w:cstheme="minorHAnsi"/>
          <w:lang w:eastAsia="sk-SK"/>
        </w:rPr>
        <w:t>dávok majetku</w:t>
      </w:r>
      <w:r>
        <w:rPr>
          <w:rFonts w:eastAsia="Times New Roman" w:cstheme="minorHAnsi"/>
          <w:lang w:eastAsia="sk-SK"/>
        </w:rPr>
        <w:t xml:space="preserve"> aj</w:t>
      </w:r>
      <w:r w:rsidRPr="00204FB7">
        <w:rPr>
          <w:rFonts w:eastAsia="Times New Roman" w:cstheme="minorHAnsi"/>
          <w:lang w:eastAsia="sk-SK"/>
        </w:rPr>
        <w:t xml:space="preserve"> pre </w:t>
      </w:r>
      <w:r>
        <w:rPr>
          <w:rFonts w:eastAsia="Times New Roman" w:cstheme="minorHAnsi"/>
          <w:lang w:eastAsia="sk-SK"/>
        </w:rPr>
        <w:t xml:space="preserve">stanovené </w:t>
      </w:r>
      <w:r w:rsidRPr="00204FB7">
        <w:rPr>
          <w:rFonts w:eastAsia="Times New Roman" w:cstheme="minorHAnsi"/>
          <w:lang w:eastAsia="sk-SK"/>
        </w:rPr>
        <w:t>mobilné zariadenie až po  vyhodnotenie inventarizovaného majetku a priamy zápis zistených zmien na kartu majetku. </w:t>
      </w:r>
    </w:p>
    <w:p w:rsidRPr="00204FB7" w:rsidR="00235E98" w:rsidP="00235E98" w:rsidRDefault="00235E98" w14:paraId="52955C95" w14:textId="77777777">
      <w:pPr>
        <w:spacing w:before="100" w:beforeAutospacing="1" w:after="100" w:afterAutospacing="1"/>
        <w:jc w:val="both"/>
        <w:textAlignment w:val="baseline"/>
        <w:rPr>
          <w:rFonts w:eastAsia="Times New Roman" w:cstheme="minorHAnsi"/>
          <w:lang w:eastAsia="sk-SK"/>
        </w:rPr>
      </w:pPr>
      <w:r w:rsidRPr="00204FB7">
        <w:rPr>
          <w:rFonts w:eastAsia="Times New Roman" w:cstheme="minorHAnsi"/>
          <w:lang w:eastAsia="sk-SK"/>
        </w:rPr>
        <w:t> V rámci implementácie aplikácie na strane mobilného zariadenia bude implementovaná aplikácia podporujúca proces vykonávania samotnej inventúry. Výmena dát medzi modulom FI-AA a mobilným zariadením sa predpokladá vo formáte XML.  </w:t>
      </w:r>
    </w:p>
    <w:p w:rsidR="00235E98" w:rsidP="00235E98" w:rsidRDefault="00235E98" w14:paraId="470D9061" w14:textId="77777777">
      <w:pPr>
        <w:jc w:val="both"/>
        <w:rPr>
          <w:rFonts w:eastAsia="Times New Roman" w:cstheme="minorHAnsi"/>
          <w:i/>
          <w:iCs/>
          <w:lang w:eastAsia="sk-SK"/>
        </w:rPr>
      </w:pPr>
      <w:r w:rsidRPr="00F86421">
        <w:rPr>
          <w:rFonts w:eastAsia="Times New Roman" w:cstheme="minorHAnsi"/>
          <w:i/>
          <w:iCs/>
          <w:lang w:eastAsia="sk-SK"/>
        </w:rPr>
        <w:t>Pozn</w:t>
      </w:r>
      <w:r w:rsidRPr="00F05D96">
        <w:rPr>
          <w:rFonts w:eastAsia="Times New Roman" w:cstheme="minorHAnsi"/>
          <w:i/>
          <w:iCs/>
          <w:lang w:eastAsia="sk-SK"/>
        </w:rPr>
        <w:t>ámka:</w:t>
      </w:r>
      <w:r w:rsidRPr="00C21731">
        <w:rPr>
          <w:rFonts w:eastAsia="Times New Roman" w:cstheme="minorHAnsi"/>
          <w:i/>
          <w:iCs/>
          <w:lang w:eastAsia="sk-SK"/>
        </w:rPr>
        <w:t xml:space="preserve"> súčasťou riešenia nie je materiálno</w:t>
      </w:r>
      <w:r>
        <w:rPr>
          <w:rFonts w:eastAsia="Times New Roman" w:cstheme="minorHAnsi"/>
          <w:i/>
          <w:iCs/>
          <w:lang w:eastAsia="sk-SK"/>
        </w:rPr>
        <w:t>-</w:t>
      </w:r>
      <w:r w:rsidRPr="00C21731">
        <w:rPr>
          <w:rFonts w:eastAsia="Times New Roman" w:cstheme="minorHAnsi"/>
          <w:i/>
          <w:iCs/>
          <w:lang w:eastAsia="sk-SK"/>
        </w:rPr>
        <w:t>technické vybavenie ako mobilné čítacie zariadenia čiarových kódov, tlačiarne a štítky. Súčasťou riešenia je aplikácia nasadená v EIS CES a aplikácia pre čítačku čiarových kódov. </w:t>
      </w:r>
    </w:p>
    <w:p w:rsidRPr="00DD48F5" w:rsidR="00235E98" w:rsidP="00235E98" w:rsidRDefault="00235E98" w14:paraId="6E68A151" w14:textId="77777777">
      <w:pPr>
        <w:jc w:val="both"/>
        <w:rPr>
          <w:rFonts w:cstheme="minorHAnsi"/>
        </w:rPr>
      </w:pPr>
    </w:p>
    <w:p w:rsidRPr="003F7865" w:rsidR="00235E98" w:rsidP="00235E98" w:rsidRDefault="00235E98" w14:paraId="3F019697" w14:textId="77777777">
      <w:pPr>
        <w:pStyle w:val="Heading1"/>
      </w:pPr>
      <w:r w:rsidRPr="003F7865">
        <w:lastRenderedPageBreak/>
        <w:t xml:space="preserve">Roly a aktivity  </w:t>
      </w:r>
    </w:p>
    <w:p w:rsidRPr="003F7865" w:rsidR="00235E98" w:rsidP="00235E98" w:rsidRDefault="00235E98" w14:paraId="3AFAE391" w14:textId="77777777">
      <w:pPr>
        <w:pStyle w:val="Heading2"/>
      </w:pPr>
      <w:r w:rsidRPr="003F7865">
        <w:t>2.1 Tabuľka rolí a aktivít</w:t>
      </w:r>
    </w:p>
    <w:tbl>
      <w:tblPr>
        <w:tblW w:w="9217" w:type="dxa"/>
        <w:tblLayout w:type="fixed"/>
        <w:tblLook w:val="04A0" w:firstRow="1" w:lastRow="0" w:firstColumn="1" w:lastColumn="0" w:noHBand="0" w:noVBand="1"/>
      </w:tblPr>
      <w:tblGrid>
        <w:gridCol w:w="2687"/>
        <w:gridCol w:w="2165"/>
        <w:gridCol w:w="4365"/>
      </w:tblGrid>
      <w:tr w:rsidRPr="003F7865" w:rsidR="00235E98" w:rsidTr="00A13799" w14:paraId="135BB81D" w14:textId="77777777">
        <w:trPr>
          <w:trHeight w:val="298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45F8FAC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7BBA9576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Proces</w:t>
            </w:r>
          </w:p>
        </w:tc>
        <w:tc>
          <w:tcPr>
            <w:tcW w:w="436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4004CDE6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M22.0</w:t>
            </w:r>
            <w:r>
              <w:rPr>
                <w:rFonts w:eastAsia="Times New Roman" w:cstheme="minorHAnsi"/>
                <w:color w:val="000000"/>
              </w:rPr>
              <w:t>15</w:t>
            </w:r>
            <w:r w:rsidRPr="003F786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Inventarizácia</w:t>
            </w:r>
            <w:r w:rsidRPr="003F7865">
              <w:rPr>
                <w:rFonts w:eastAsia="Times New Roman" w:cstheme="minorHAnsi"/>
                <w:color w:val="000000"/>
              </w:rPr>
              <w:t xml:space="preserve"> majetku</w:t>
            </w:r>
          </w:p>
        </w:tc>
      </w:tr>
      <w:tr w:rsidRPr="003F7865" w:rsidR="00235E98" w:rsidTr="00A13799" w14:paraId="0285E820" w14:textId="77777777">
        <w:trPr>
          <w:trHeight w:val="298"/>
        </w:trPr>
        <w:tc>
          <w:tcPr>
            <w:tcW w:w="268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40B2F5E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65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2C9119D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Organizácia</w:t>
            </w:r>
          </w:p>
        </w:tc>
        <w:tc>
          <w:tcPr>
            <w:tcW w:w="436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5599A619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Inventarizácia majetku</w:t>
            </w:r>
          </w:p>
        </w:tc>
      </w:tr>
      <w:tr w:rsidRPr="003F7865" w:rsidR="00235E98" w:rsidTr="00A13799" w14:paraId="708EB7A5" w14:textId="77777777">
        <w:trPr>
          <w:trHeight w:val="298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EDEDED"/>
            <w:noWrap/>
            <w:vAlign w:val="center"/>
            <w:hideMark/>
          </w:tcPr>
          <w:p w:rsidRPr="003F7865" w:rsidR="00235E98" w:rsidP="00A13799" w:rsidRDefault="00235E98" w14:paraId="6626BB5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3F7865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165" w:type="dxa"/>
            <w:tcBorders>
              <w:top w:val="single" w:color="auto" w:sz="4" w:space="0"/>
              <w:bottom w:val="single" w:color="auto" w:sz="4" w:space="0"/>
            </w:tcBorders>
            <w:shd w:val="clear" w:color="000000" w:fill="EDEDED"/>
            <w:noWrap/>
            <w:vAlign w:val="bottom"/>
          </w:tcPr>
          <w:p w:rsidRPr="003F7865" w:rsidR="00235E98" w:rsidP="00A13799" w:rsidRDefault="00235E98" w14:paraId="76EDB66C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noWrap/>
            <w:vAlign w:val="bottom"/>
            <w:hideMark/>
          </w:tcPr>
          <w:p w:rsidRPr="000469D1" w:rsidR="00235E98" w:rsidP="00A13799" w:rsidRDefault="00235E98" w14:paraId="187C3876" w14:textId="77777777">
            <w:pPr>
              <w:spacing w:after="0"/>
              <w:rPr>
                <w:b/>
                <w:bCs/>
              </w:rPr>
            </w:pPr>
            <w:r w:rsidRPr="00CF791D">
              <w:rPr>
                <w:b/>
                <w:bCs/>
              </w:rPr>
              <w:t xml:space="preserve">Spracovateľ </w:t>
            </w:r>
            <w:r>
              <w:rPr>
                <w:b/>
                <w:bCs/>
              </w:rPr>
              <w:t>inventarizácie majetku -administrácia</w:t>
            </w:r>
            <w:r w:rsidRPr="00CF791D">
              <w:rPr>
                <w:b/>
                <w:bCs/>
              </w:rPr>
              <w:t xml:space="preserve"> </w:t>
            </w:r>
          </w:p>
        </w:tc>
      </w:tr>
      <w:tr w:rsidRPr="003F7865" w:rsidR="00235E98" w:rsidTr="00A13799" w14:paraId="16C2630B" w14:textId="77777777">
        <w:trPr>
          <w:trHeight w:val="298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2E28184C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5338F00D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M22.0</w:t>
            </w:r>
            <w:r>
              <w:rPr>
                <w:rFonts w:eastAsia="Times New Roman" w:cstheme="minorHAnsi"/>
                <w:color w:val="000000"/>
              </w:rPr>
              <w:t>15</w:t>
            </w:r>
            <w:r w:rsidRPr="003F786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Z</w:t>
            </w:r>
            <w:r w:rsidRPr="003F7865">
              <w:rPr>
                <w:rFonts w:eastAsia="Times New Roman" w:cstheme="minorHAnsi"/>
                <w:color w:val="000000"/>
              </w:rPr>
              <w:t>.00001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4A5E17C3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Aktivita nastavenia spracovania inventarizácie</w:t>
            </w:r>
          </w:p>
        </w:tc>
      </w:tr>
      <w:tr w:rsidRPr="003F7865" w:rsidR="00235E98" w:rsidTr="00A13799" w14:paraId="1EB9655C" w14:textId="77777777">
        <w:trPr>
          <w:trHeight w:val="68"/>
        </w:trPr>
        <w:tc>
          <w:tcPr>
            <w:tcW w:w="26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3A5E503F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4F396404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67BED334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Pr="003F7865" w:rsidR="00235E98" w:rsidTr="00A13799" w14:paraId="4A09F399" w14:textId="77777777">
        <w:trPr>
          <w:trHeight w:val="284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49722A60" w14:textId="77777777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3F7865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65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3BD0884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Stanovenie nastavenia Inventarizácie</w:t>
            </w:r>
          </w:p>
        </w:tc>
      </w:tr>
      <w:tr w:rsidRPr="003F7865" w:rsidR="00235E98" w:rsidTr="00A13799" w14:paraId="03531256" w14:textId="77777777">
        <w:trPr>
          <w:trHeight w:val="298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7AD3178F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3F7865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65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0F3BC722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Nastavenie Inventarizácie zrealizované</w:t>
            </w:r>
          </w:p>
        </w:tc>
      </w:tr>
    </w:tbl>
    <w:p w:rsidR="00235E98" w:rsidP="00235E98" w:rsidRDefault="00235E98" w14:paraId="24F31C73" w14:textId="77777777">
      <w:pPr>
        <w:pStyle w:val="Heading2"/>
        <w:rPr>
          <w:rFonts w:eastAsiaTheme="minorHAnsi"/>
          <w:b w:val="0"/>
          <w:i/>
          <w:iCs/>
          <w:color w:val="44546A" w:themeColor="text2"/>
          <w:sz w:val="22"/>
          <w:szCs w:val="22"/>
        </w:rPr>
      </w:pP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Tabuľka </w:t>
      </w: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begin"/>
      </w: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instrText xml:space="preserve"> SEQ Tabuľka \* ARABIC </w:instrText>
      </w: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separate"/>
      </w: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>1</w:t>
      </w: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end"/>
      </w: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 - Roly a</w:t>
      </w:r>
      <w:r>
        <w:rPr>
          <w:rFonts w:eastAsiaTheme="minorHAnsi"/>
          <w:b w:val="0"/>
          <w:i/>
          <w:iCs/>
          <w:color w:val="44546A" w:themeColor="text2"/>
          <w:sz w:val="22"/>
          <w:szCs w:val="22"/>
        </w:rPr>
        <w:t> </w:t>
      </w: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>aktivity</w:t>
      </w:r>
    </w:p>
    <w:tbl>
      <w:tblPr>
        <w:tblW w:w="9217" w:type="dxa"/>
        <w:tblLayout w:type="fixed"/>
        <w:tblLook w:val="04A0" w:firstRow="1" w:lastRow="0" w:firstColumn="1" w:lastColumn="0" w:noHBand="0" w:noVBand="1"/>
      </w:tblPr>
      <w:tblGrid>
        <w:gridCol w:w="2687"/>
        <w:gridCol w:w="2165"/>
        <w:gridCol w:w="4365"/>
      </w:tblGrid>
      <w:tr w:rsidRPr="003F7865" w:rsidR="00235E98" w:rsidTr="00A13799" w14:paraId="149D1552" w14:textId="77777777">
        <w:trPr>
          <w:trHeight w:val="298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1D972BE4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4B7B9894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Proces</w:t>
            </w:r>
          </w:p>
        </w:tc>
        <w:tc>
          <w:tcPr>
            <w:tcW w:w="436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5F993BE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M22.0</w:t>
            </w:r>
            <w:r>
              <w:rPr>
                <w:rFonts w:eastAsia="Times New Roman" w:cstheme="minorHAnsi"/>
                <w:color w:val="000000"/>
              </w:rPr>
              <w:t>15</w:t>
            </w:r>
            <w:r w:rsidRPr="003F786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Inventarizácia</w:t>
            </w:r>
            <w:r w:rsidRPr="003F7865">
              <w:rPr>
                <w:rFonts w:eastAsia="Times New Roman" w:cstheme="minorHAnsi"/>
                <w:color w:val="000000"/>
              </w:rPr>
              <w:t xml:space="preserve"> majetku</w:t>
            </w:r>
          </w:p>
        </w:tc>
      </w:tr>
      <w:tr w:rsidRPr="003F7865" w:rsidR="00235E98" w:rsidTr="00A13799" w14:paraId="23B8DD3D" w14:textId="77777777">
        <w:trPr>
          <w:trHeight w:val="298"/>
        </w:trPr>
        <w:tc>
          <w:tcPr>
            <w:tcW w:w="268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6947A7E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65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7D0237B0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Organizácia</w:t>
            </w:r>
          </w:p>
        </w:tc>
        <w:tc>
          <w:tcPr>
            <w:tcW w:w="436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591F6029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Inventarizácia majetku</w:t>
            </w:r>
          </w:p>
        </w:tc>
      </w:tr>
      <w:tr w:rsidRPr="003F7865" w:rsidR="00235E98" w:rsidTr="00A13799" w14:paraId="7CCEF6CD" w14:textId="77777777">
        <w:trPr>
          <w:trHeight w:val="298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EDEDED"/>
            <w:noWrap/>
            <w:vAlign w:val="center"/>
            <w:hideMark/>
          </w:tcPr>
          <w:p w:rsidRPr="003F7865" w:rsidR="00235E98" w:rsidP="00A13799" w:rsidRDefault="00235E98" w14:paraId="060C268F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3F7865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165" w:type="dxa"/>
            <w:tcBorders>
              <w:top w:val="single" w:color="auto" w:sz="4" w:space="0"/>
              <w:bottom w:val="single" w:color="auto" w:sz="4" w:space="0"/>
            </w:tcBorders>
            <w:shd w:val="clear" w:color="000000" w:fill="EDEDED"/>
            <w:noWrap/>
            <w:vAlign w:val="bottom"/>
          </w:tcPr>
          <w:p w:rsidRPr="003F7865" w:rsidR="00235E98" w:rsidP="00A13799" w:rsidRDefault="00235E98" w14:paraId="1B2FF4AC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noWrap/>
            <w:vAlign w:val="bottom"/>
            <w:hideMark/>
          </w:tcPr>
          <w:p w:rsidRPr="003F7865" w:rsidR="00235E98" w:rsidP="00A13799" w:rsidRDefault="00235E98" w14:paraId="19CA3138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F791D">
              <w:rPr>
                <w:b/>
                <w:bCs/>
              </w:rPr>
              <w:t xml:space="preserve">Spracovateľ </w:t>
            </w:r>
            <w:r>
              <w:rPr>
                <w:b/>
                <w:bCs/>
              </w:rPr>
              <w:t>inventarizácie majetku</w:t>
            </w:r>
          </w:p>
        </w:tc>
      </w:tr>
      <w:tr w:rsidRPr="003F7865" w:rsidR="00235E98" w:rsidTr="00A13799" w14:paraId="09E4587D" w14:textId="77777777">
        <w:trPr>
          <w:trHeight w:val="298"/>
        </w:trPr>
        <w:tc>
          <w:tcPr>
            <w:tcW w:w="26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2ADEFEED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1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47E685AA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3F7865">
              <w:rPr>
                <w:rFonts w:eastAsia="Times New Roman" w:cstheme="minorHAnsi"/>
                <w:color w:val="000000"/>
              </w:rPr>
              <w:t>22.0</w:t>
            </w:r>
            <w:r>
              <w:rPr>
                <w:rFonts w:eastAsia="Times New Roman" w:cstheme="minorHAnsi"/>
                <w:color w:val="000000"/>
              </w:rPr>
              <w:t>15</w:t>
            </w:r>
            <w:r w:rsidRPr="003F786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Z</w:t>
            </w:r>
            <w:r w:rsidRPr="003F7865">
              <w:rPr>
                <w:rFonts w:eastAsia="Times New Roman" w:cstheme="minorHAnsi"/>
                <w:color w:val="000000"/>
              </w:rPr>
              <w:t>.00002</w:t>
            </w:r>
          </w:p>
        </w:tc>
        <w:tc>
          <w:tcPr>
            <w:tcW w:w="43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71A2B41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Aktivita spracovania komisií a dávok spracovania</w:t>
            </w:r>
          </w:p>
        </w:tc>
      </w:tr>
      <w:tr w:rsidRPr="003F7865" w:rsidR="00235E98" w:rsidTr="00A13799" w14:paraId="48C91C7C" w14:textId="77777777">
        <w:trPr>
          <w:trHeight w:val="298"/>
        </w:trPr>
        <w:tc>
          <w:tcPr>
            <w:tcW w:w="26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18235D73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1FC4B46F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M22.0</w:t>
            </w:r>
            <w:r>
              <w:rPr>
                <w:rFonts w:eastAsia="Times New Roman" w:cstheme="minorHAnsi"/>
                <w:color w:val="000000"/>
              </w:rPr>
              <w:t>15</w:t>
            </w:r>
            <w:r w:rsidRPr="003F786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Z</w:t>
            </w:r>
            <w:r w:rsidRPr="003F7865">
              <w:rPr>
                <w:rFonts w:eastAsia="Times New Roman" w:cstheme="minorHAnsi"/>
                <w:color w:val="000000"/>
              </w:rPr>
              <w:t>.00003</w:t>
            </w:r>
          </w:p>
        </w:tc>
        <w:tc>
          <w:tcPr>
            <w:tcW w:w="43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584ACDE1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Aktivita spracovania a vyhodnotenia výsledkov inventarizácie</w:t>
            </w:r>
          </w:p>
        </w:tc>
      </w:tr>
      <w:tr w:rsidRPr="003F7865" w:rsidR="00235E98" w:rsidTr="00A13799" w14:paraId="1C608EB8" w14:textId="77777777">
        <w:trPr>
          <w:trHeight w:val="298"/>
        </w:trPr>
        <w:tc>
          <w:tcPr>
            <w:tcW w:w="26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6656A287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24A5FAF3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M22.0</w:t>
            </w:r>
            <w:r>
              <w:rPr>
                <w:rFonts w:eastAsia="Times New Roman" w:cstheme="minorHAnsi"/>
                <w:color w:val="000000"/>
              </w:rPr>
              <w:t>15</w:t>
            </w:r>
            <w:r w:rsidRPr="003F786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Z</w:t>
            </w:r>
            <w:r w:rsidRPr="003F7865">
              <w:rPr>
                <w:rFonts w:eastAsia="Times New Roman" w:cstheme="minorHAnsi"/>
                <w:color w:val="000000"/>
              </w:rPr>
              <w:t>.00004</w:t>
            </w:r>
          </w:p>
        </w:tc>
        <w:tc>
          <w:tcPr>
            <w:tcW w:w="43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0E98F0F5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Aktivita spracovania výstupov z inventarizácie</w:t>
            </w:r>
          </w:p>
        </w:tc>
      </w:tr>
      <w:tr w:rsidRPr="003F7865" w:rsidR="00235E98" w:rsidTr="00A13799" w14:paraId="2D95D543" w14:textId="77777777">
        <w:trPr>
          <w:trHeight w:val="284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3F4FE6A9" w14:textId="77777777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3F7865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65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235E98" w:rsidP="00A13799" w:rsidRDefault="00235E98" w14:paraId="7750B59C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Nastavenie Inventarizácie zrealizované</w:t>
            </w:r>
          </w:p>
          <w:p w:rsidRPr="003F7865" w:rsidR="00235E98" w:rsidP="00A13799" w:rsidRDefault="00235E98" w14:paraId="6E54282A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Menovanie komisií </w:t>
            </w:r>
          </w:p>
        </w:tc>
      </w:tr>
      <w:tr w:rsidRPr="003F7865" w:rsidR="00235E98" w:rsidTr="00A13799" w14:paraId="11EAD576" w14:textId="77777777">
        <w:trPr>
          <w:trHeight w:val="298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6823248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3F7865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65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235E98" w:rsidP="00A13799" w:rsidRDefault="00235E98" w14:paraId="273C7FC5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Definované komisie pre inventarizáciu</w:t>
            </w:r>
          </w:p>
          <w:p w:rsidR="00235E98" w:rsidP="00A13799" w:rsidRDefault="00235E98" w14:paraId="56FE7BA9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Definované oblasti inventarizácie</w:t>
            </w:r>
          </w:p>
          <w:p w:rsidR="00235E98" w:rsidP="00A13799" w:rsidRDefault="00235E98" w14:paraId="7BDAED17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Spracovanie a vyhodnotenie výsledkov inventarizácie</w:t>
            </w:r>
          </w:p>
          <w:p w:rsidRPr="003F7865" w:rsidR="00235E98" w:rsidP="00A13799" w:rsidRDefault="00235E98" w14:paraId="18C67E60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Spracovanie výstupov z inventarizácie</w:t>
            </w:r>
          </w:p>
        </w:tc>
      </w:tr>
    </w:tbl>
    <w:p w:rsidR="00235E98" w:rsidP="00235E98" w:rsidRDefault="00235E98" w14:paraId="790BC643" w14:textId="77777777">
      <w:pPr>
        <w:pStyle w:val="Heading2"/>
        <w:rPr>
          <w:rFonts w:eastAsiaTheme="minorHAnsi"/>
          <w:b w:val="0"/>
          <w:i/>
          <w:iCs/>
          <w:color w:val="44546A" w:themeColor="text2"/>
          <w:sz w:val="22"/>
          <w:szCs w:val="22"/>
        </w:rPr>
      </w:pP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Tabuľka </w:t>
      </w:r>
      <w:r>
        <w:rPr>
          <w:rFonts w:eastAsiaTheme="minorHAnsi"/>
          <w:b w:val="0"/>
          <w:i/>
          <w:iCs/>
          <w:color w:val="44546A" w:themeColor="text2"/>
          <w:sz w:val="22"/>
          <w:szCs w:val="22"/>
        </w:rPr>
        <w:t>2</w:t>
      </w: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 - Roly a</w:t>
      </w:r>
      <w:r>
        <w:rPr>
          <w:rFonts w:eastAsiaTheme="minorHAnsi"/>
          <w:b w:val="0"/>
          <w:i/>
          <w:iCs/>
          <w:color w:val="44546A" w:themeColor="text2"/>
          <w:sz w:val="22"/>
          <w:szCs w:val="22"/>
        </w:rPr>
        <w:t> </w:t>
      </w:r>
      <w:r w:rsidRPr="003F786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>aktivity</w:t>
      </w:r>
    </w:p>
    <w:p w:rsidR="00235E98" w:rsidP="00235E98" w:rsidRDefault="00235E98" w14:paraId="53C1F399" w14:textId="77777777">
      <w:pPr>
        <w:pStyle w:val="Heading2"/>
        <w:spacing w:before="240"/>
      </w:pPr>
      <w:r w:rsidRPr="003F7865">
        <w:t>2.2 Popis vykonaných aktivít</w:t>
      </w:r>
    </w:p>
    <w:p w:rsidR="00235E98" w:rsidP="00235E98" w:rsidRDefault="00235E98" w14:paraId="52AB06C7" w14:textId="77777777">
      <w:pPr>
        <w:jc w:val="both"/>
        <w:rPr>
          <w:rFonts w:eastAsia="Times New Roman" w:cstheme="minorHAnsi"/>
          <w:lang w:eastAsia="sk-SK"/>
        </w:rPr>
      </w:pPr>
      <w:r w:rsidRPr="00082579">
        <w:rPr>
          <w:rFonts w:cstheme="minorHAnsi"/>
          <w:color w:val="000000"/>
          <w:u w:val="single"/>
        </w:rPr>
        <w:t>Aktivita M22.015.Z.00001.</w:t>
      </w:r>
      <w:r w:rsidRPr="007A248C">
        <w:rPr>
          <w:rFonts w:cstheme="minorHAnsi"/>
          <w:color w:val="000000"/>
          <w:u w:val="single"/>
        </w:rPr>
        <w:t>Spracovanie nastavení inventarizácie</w:t>
      </w:r>
      <w:r>
        <w:rPr>
          <w:rFonts w:cstheme="minorHAnsi"/>
          <w:color w:val="000000"/>
        </w:rPr>
        <w:t xml:space="preserve"> zahŕňa nastavenie aplikácie pre inventarizáciu v prostredí systému CES.</w:t>
      </w:r>
      <w:r w:rsidRPr="00DD48F5">
        <w:rPr>
          <w:rFonts w:cstheme="minorHAnsi"/>
          <w:color w:val="000000"/>
        </w:rPr>
        <w:t xml:space="preserve">  </w:t>
      </w:r>
      <w:r w:rsidRPr="00204FB7">
        <w:rPr>
          <w:rFonts w:eastAsia="Times New Roman" w:cstheme="minorHAnsi"/>
          <w:lang w:eastAsia="sk-SK"/>
        </w:rPr>
        <w:t> </w:t>
      </w:r>
    </w:p>
    <w:p w:rsidRPr="001B4A78" w:rsidR="00235E98" w:rsidP="00235E98" w:rsidRDefault="00235E98" w14:paraId="062FE41A" w14:textId="5731A8EB">
      <w:pPr>
        <w:jc w:val="both"/>
        <w:rPr>
          <w:rFonts w:eastAsia="Times New Roman" w:cstheme="minorHAnsi"/>
          <w:lang w:eastAsia="sk-SK"/>
        </w:rPr>
      </w:pPr>
      <w:r w:rsidRPr="00082579">
        <w:rPr>
          <w:rFonts w:eastAsia="Times New Roman" w:cstheme="minorHAnsi"/>
          <w:u w:val="single"/>
          <w:lang w:eastAsia="sk-SK"/>
        </w:rPr>
        <w:t>A</w:t>
      </w:r>
      <w:r w:rsidRPr="00082579">
        <w:rPr>
          <w:rFonts w:cstheme="minorHAnsi"/>
          <w:color w:val="000000"/>
          <w:u w:val="single"/>
        </w:rPr>
        <w:t>ktivita</w:t>
      </w:r>
      <w:r w:rsidRPr="00DD4317">
        <w:rPr>
          <w:rFonts w:cstheme="minorHAnsi"/>
          <w:color w:val="000000"/>
          <w:u w:val="single"/>
        </w:rPr>
        <w:t xml:space="preserve"> </w:t>
      </w:r>
      <w:r w:rsidRPr="007A248C">
        <w:rPr>
          <w:rFonts w:cstheme="minorHAnsi"/>
          <w:color w:val="000000"/>
          <w:u w:val="single"/>
        </w:rPr>
        <w:t>M22.015.Z.00002.Spracovanie komisií a dávok spracovania</w:t>
      </w:r>
      <w:r w:rsidRPr="00DD48F5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reprezentuje nastavenie a generovanie oblastí majetku (elektronického inventúrneho súpisu) pre inventarizačné komisie. Aktivita zahŕňa vytvorenie a nakopírovanie XML súboru do mobilného zariadenia na základe definovaných výberových podmienok a štruktúr v prípade inventarizácie majetku čiarovým kódom a súčasne</w:t>
      </w:r>
      <w:r w:rsidRPr="00EF15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prípravu podkladov pre vykonanie fyzickej alebo dokladovej inventarizácie</w:t>
      </w:r>
      <w:r w:rsidR="00CD0A86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ktorá bude realizovaná bez podpory inventarizácie čiarovným kódom v procese  </w:t>
      </w:r>
      <w:r w:rsidRPr="007A248C">
        <w:rPr>
          <w:rFonts w:cstheme="minorHAnsi"/>
          <w:color w:val="000000"/>
          <w:u w:val="single"/>
        </w:rPr>
        <w:t>M22.015.Z.00003.Spracovanie a vyhodnotenie inventarizácie</w:t>
      </w:r>
      <w:r w:rsidRPr="00DD48F5">
        <w:rPr>
          <w:rFonts w:cstheme="minorHAnsi"/>
          <w:color w:val="000000"/>
        </w:rPr>
        <w:t> </w:t>
      </w:r>
    </w:p>
    <w:p w:rsidR="00235E98" w:rsidP="00235E98" w:rsidRDefault="00235E98" w14:paraId="764E6AD2" w14:textId="098A5B4F">
      <w:pPr>
        <w:jc w:val="both"/>
        <w:rPr>
          <w:rFonts w:cstheme="minorHAnsi"/>
          <w:color w:val="000000"/>
        </w:rPr>
      </w:pPr>
      <w:r w:rsidRPr="00DD4317">
        <w:rPr>
          <w:rFonts w:cstheme="minorHAnsi"/>
          <w:color w:val="000000"/>
          <w:u w:val="single"/>
        </w:rPr>
        <w:lastRenderedPageBreak/>
        <w:t xml:space="preserve">Aktivita </w:t>
      </w:r>
      <w:r w:rsidRPr="007A248C">
        <w:rPr>
          <w:rFonts w:cstheme="minorHAnsi"/>
          <w:color w:val="000000"/>
          <w:u w:val="single"/>
        </w:rPr>
        <w:t>M22.015.Z.00003.Spracovanie a vyhodnotenie inventarizácie</w:t>
      </w:r>
      <w:r w:rsidRPr="00DD48F5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zahŕňa vykonanie inventúry čítačkou čiarových kódov</w:t>
      </w:r>
      <w:r w:rsidR="0058676A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ale aj spracovanie podkladov na vykonanie inventarizácie</w:t>
      </w:r>
      <w:r w:rsidR="0058676A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ktorá bude prebiehať bez podpory inventarizácie majetku čiarovým kódom (Inventúrny súpis</w:t>
      </w:r>
      <w:r w:rsidR="0058676A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ktorý je podkladom na vykonanie inventarizácie</w:t>
      </w:r>
      <w:r w:rsidR="0058676A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t.j. porovnanie účtovného stavu s fyzickým stavom majetku).</w:t>
      </w:r>
    </w:p>
    <w:p w:rsidR="00235E98" w:rsidP="00235E98" w:rsidRDefault="00235E98" w14:paraId="3964EF07" w14:textId="24C483A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 rámci uvedenej aktivity je umožnené následné manuálne označenie majetku v prostredí aplikácie IMA, ktorý bol identifikovaný pri inventarizácii majetku na základe podkladov spracovaných pri fyzickej či dokladovej inventarizácii. V prípade spracovania inventarizácie majetku čiarovým kódom je majetok označovaný a vyhodnocovaný automatizovane pri spätnom nahratí výsledkov inventarizácie po vykonaní inventarizácie z mobilného zariadenia</w:t>
      </w:r>
      <w:r w:rsidR="0021710C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ktorým sa realizovala inventarizácia majetku.</w:t>
      </w:r>
    </w:p>
    <w:p w:rsidRPr="0061176B" w:rsidR="00235E98" w:rsidP="00235E98" w:rsidRDefault="00235E98" w14:paraId="7032B961" w14:textId="77777777">
      <w:p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Následné vyhodnotenie dávky vrátenej z mobilného zariadenia alebo vyhodnotenie manuálne označeného majetku ako zistenie stavu majetku a zobrazenie rozdielov je vyhodnotené priamo v aplikácii IMA v rámci systému CES. Po vykonaní vyhodnotenia je možné  prípadné rozdiely zapracovať, resp. zapísať jednotlivo alebo hromadne priamo na kartu majetku. </w:t>
      </w:r>
    </w:p>
    <w:p w:rsidR="00235E98" w:rsidP="00235E98" w:rsidRDefault="00235E98" w14:paraId="64FEB646" w14:textId="38957220">
      <w:pPr>
        <w:jc w:val="both"/>
        <w:rPr>
          <w:rFonts w:cstheme="minorHAnsi"/>
        </w:rPr>
      </w:pPr>
      <w:r w:rsidRPr="00DD4317">
        <w:rPr>
          <w:rFonts w:cstheme="minorHAnsi"/>
          <w:color w:val="000000"/>
          <w:u w:val="single"/>
        </w:rPr>
        <w:t xml:space="preserve">Aktivita </w:t>
      </w:r>
      <w:r w:rsidRPr="007A248C">
        <w:rPr>
          <w:rFonts w:cstheme="minorHAnsi"/>
          <w:color w:val="000000"/>
          <w:u w:val="single"/>
        </w:rPr>
        <w:t>M22.015.Z.00004.Spracovanie výstupov z inventarizácie</w:t>
      </w:r>
      <w:r w:rsidRPr="00DD48F5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 xml:space="preserve">reprezentuje tlač inventúrnych zoznamov za miestnosť správcom majetku, tlač inventúrneho súpisu a tlač inventarizačného zápisu. </w:t>
      </w:r>
      <w:r w:rsidRPr="00160EF9">
        <w:rPr>
          <w:rFonts w:cstheme="minorHAnsi"/>
        </w:rPr>
        <w:t>Inventúrn</w:t>
      </w:r>
      <w:r>
        <w:rPr>
          <w:rFonts w:cstheme="minorHAnsi"/>
        </w:rPr>
        <w:t>y</w:t>
      </w:r>
      <w:r w:rsidRPr="00160EF9">
        <w:rPr>
          <w:rFonts w:cstheme="minorHAnsi"/>
        </w:rPr>
        <w:t xml:space="preserve"> </w:t>
      </w:r>
      <w:r>
        <w:rPr>
          <w:rFonts w:cstheme="minorHAnsi"/>
        </w:rPr>
        <w:t>súpis majetku za miestnosť</w:t>
      </w:r>
      <w:r w:rsidRPr="00160EF9">
        <w:rPr>
          <w:rFonts w:cstheme="minorHAnsi"/>
        </w:rPr>
        <w:t xml:space="preserve"> obsahuj</w:t>
      </w:r>
      <w:r>
        <w:rPr>
          <w:rFonts w:cstheme="minorHAnsi"/>
        </w:rPr>
        <w:t>e</w:t>
      </w:r>
      <w:r w:rsidRPr="00160EF9">
        <w:rPr>
          <w:rFonts w:cstheme="minorHAnsi"/>
        </w:rPr>
        <w:t xml:space="preserve"> zoznam majetku nachádzajúc</w:t>
      </w:r>
      <w:r w:rsidR="0021710C">
        <w:rPr>
          <w:rFonts w:cstheme="minorHAnsi"/>
        </w:rPr>
        <w:t>eho</w:t>
      </w:r>
      <w:r w:rsidRPr="00160EF9">
        <w:rPr>
          <w:rFonts w:cstheme="minorHAnsi"/>
        </w:rPr>
        <w:t xml:space="preserve"> sa v miestnosti. Zároveň uvedený zoznam bude obsahovať identifikátor miestnosti z</w:t>
      </w:r>
      <w:r>
        <w:rPr>
          <w:rFonts w:cstheme="minorHAnsi"/>
        </w:rPr>
        <w:t>a daný účtovný okruh</w:t>
      </w:r>
      <w:r w:rsidRPr="00160EF9">
        <w:rPr>
          <w:rFonts w:cstheme="minorHAnsi"/>
        </w:rPr>
        <w:t xml:space="preserve">. </w:t>
      </w:r>
      <w:r>
        <w:rPr>
          <w:rFonts w:cstheme="minorHAnsi"/>
        </w:rPr>
        <w:t>V prípade inventarizácie majetku čiarovým kódom bude možné i</w:t>
      </w:r>
      <w:r w:rsidRPr="00160EF9">
        <w:rPr>
          <w:rFonts w:cstheme="minorHAnsi"/>
        </w:rPr>
        <w:t>dentifikátor miestnosti tlačiť na oddelený štítok čiarového kódu.</w:t>
      </w:r>
    </w:p>
    <w:p w:rsidR="00235E98" w:rsidP="00235E98" w:rsidRDefault="00235E98" w14:paraId="1AA374F9" w14:textId="77777777">
      <w:pPr>
        <w:jc w:val="both"/>
        <w:rPr>
          <w:rFonts w:cstheme="minorHAnsi"/>
        </w:rPr>
      </w:pPr>
    </w:p>
    <w:p w:rsidRPr="00170549" w:rsidR="00235E98" w:rsidP="00235E98" w:rsidRDefault="00235E98" w14:paraId="0BCB2A42" w14:textId="77777777">
      <w:pPr>
        <w:jc w:val="both"/>
      </w:pPr>
    </w:p>
    <w:p w:rsidR="00235E98" w:rsidP="00235E98" w:rsidRDefault="00235E98" w14:paraId="0C20E97E" w14:textId="77777777">
      <w:pPr>
        <w:pStyle w:val="Heading1"/>
        <w:numPr>
          <w:ilvl w:val="0"/>
          <w:numId w:val="16"/>
        </w:numPr>
      </w:pPr>
      <w:r w:rsidRPr="003F7865">
        <w:lastRenderedPageBreak/>
        <w:t>Business workflow</w:t>
      </w:r>
    </w:p>
    <w:tbl>
      <w:tblPr>
        <w:tblW w:w="90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248"/>
        <w:gridCol w:w="3396"/>
        <w:gridCol w:w="4394"/>
      </w:tblGrid>
      <w:tr w:rsidRPr="003F7865" w:rsidR="00235E98" w:rsidTr="00A13799" w14:paraId="11978B5F" w14:textId="77777777">
        <w:trPr>
          <w:trHeight w:val="263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E04CF" w:rsidR="00235E98" w:rsidP="00A13799" w:rsidRDefault="00235E98" w14:paraId="65AA2D2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9E04CF">
              <w:rPr>
                <w:rFonts w:eastAsia="Times New Roman" w:cstheme="minorHAnsi"/>
                <w:b/>
                <w:bCs/>
                <w:color w:val="000000"/>
              </w:rPr>
              <w:t>Rola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4C92718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Theme="majorEastAsia" w:cstheme="minorHAnsi"/>
              </w:rPr>
              <w:t>M22.0</w:t>
            </w:r>
            <w:r>
              <w:rPr>
                <w:rFonts w:eastAsiaTheme="majorEastAsia" w:cstheme="minorHAnsi"/>
              </w:rPr>
              <w:t>15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FF3225" w:rsidR="00235E98" w:rsidP="00A13799" w:rsidRDefault="00235E98" w14:paraId="291B2642" w14:textId="77777777">
            <w:pPr>
              <w:spacing w:after="0"/>
              <w:rPr>
                <w:rFonts w:eastAsiaTheme="majorEastAsia" w:cstheme="minorHAnsi"/>
              </w:rPr>
            </w:pPr>
            <w:r>
              <w:rPr>
                <w:rFonts w:ascii="Calibri" w:hAnsi="Calibri" w:eastAsia="Times New Roman" w:cs="Calibri"/>
                <w:lang w:eastAsia="sk-SK"/>
              </w:rPr>
              <w:t>Spracovateľ inventarizácie majetku -</w:t>
            </w:r>
            <w:r w:rsidRPr="00DD48F5">
              <w:rPr>
                <w:rFonts w:cstheme="minorHAnsi"/>
              </w:rPr>
              <w:t xml:space="preserve"> administrácia</w:t>
            </w:r>
          </w:p>
        </w:tc>
      </w:tr>
      <w:tr w:rsidRPr="003F7865" w:rsidR="00235E98" w:rsidTr="00A13799" w14:paraId="492C5EFC" w14:textId="77777777">
        <w:trPr>
          <w:trHeight w:val="263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E04CF" w:rsidR="00235E98" w:rsidP="00A13799" w:rsidRDefault="00235E98" w14:paraId="7DCA635F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9E04CF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585325A0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Theme="majorEastAsia" w:cstheme="minorHAnsi"/>
              </w:rPr>
              <w:t>M22.0</w:t>
            </w:r>
            <w:r>
              <w:rPr>
                <w:rFonts w:eastAsiaTheme="majorEastAsia" w:cstheme="minorHAnsi"/>
              </w:rPr>
              <w:t>15</w:t>
            </w:r>
            <w:r w:rsidRPr="003F7865">
              <w:rPr>
                <w:rFonts w:eastAsiaTheme="majorEastAsia" w:cstheme="minorHAnsi"/>
              </w:rPr>
              <w:t>.</w:t>
            </w:r>
            <w:r>
              <w:rPr>
                <w:rFonts w:eastAsiaTheme="majorEastAsia" w:cstheme="minorHAnsi"/>
              </w:rPr>
              <w:t>Z</w:t>
            </w:r>
            <w:r w:rsidRPr="003F7865">
              <w:rPr>
                <w:rFonts w:eastAsiaTheme="majorEastAsia" w:cstheme="minorHAnsi"/>
              </w:rPr>
              <w:t>.00001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08D75D8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D48F5">
              <w:rPr>
                <w:rFonts w:cstheme="minorHAnsi"/>
                <w:color w:val="000000"/>
              </w:rPr>
              <w:t xml:space="preserve">Spracovanie nastavení inventarizácie  </w:t>
            </w:r>
          </w:p>
        </w:tc>
      </w:tr>
      <w:tr w:rsidRPr="003F7865" w:rsidR="00235E98" w:rsidTr="00A13799" w14:paraId="7D33EAFB" w14:textId="77777777">
        <w:trPr>
          <w:trHeight w:val="263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E04CF" w:rsidR="00235E98" w:rsidP="00A13799" w:rsidRDefault="00235E98" w14:paraId="4644B9F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9E04CF">
              <w:rPr>
                <w:rFonts w:eastAsia="Times New Roman" w:cstheme="minorHAnsi"/>
                <w:b/>
                <w:bCs/>
                <w:color w:val="000000"/>
              </w:rPr>
              <w:t>Transakcia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559E4EE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„vývoj ABAP“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3546EE62" w14:textId="77777777">
            <w:pPr>
              <w:spacing w:after="0"/>
              <w:rPr>
                <w:rFonts w:eastAsiaTheme="majorEastAsia" w:cstheme="minorHAnsi"/>
              </w:rPr>
            </w:pPr>
          </w:p>
        </w:tc>
      </w:tr>
    </w:tbl>
    <w:p w:rsidRPr="00017AC7" w:rsidR="00235E98" w:rsidP="00235E98" w:rsidRDefault="00235E98" w14:paraId="4BCAA707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017AC7">
        <w:rPr>
          <w:rFonts w:asciiTheme="minorHAnsi" w:hAnsiTheme="minorHAnsi" w:cstheme="minorHAnsi"/>
          <w:b/>
          <w:bCs/>
          <w:color w:val="000000"/>
          <w:lang w:eastAsia="en-US"/>
        </w:rPr>
        <w:t>Kroky v rámci transakcie:</w:t>
      </w:r>
    </w:p>
    <w:p w:rsidR="00235E98" w:rsidP="00235E98" w:rsidRDefault="00235E98" w14:paraId="38769D85" w14:textId="77777777">
      <w:pPr>
        <w:pStyle w:val="paragraph"/>
        <w:numPr>
          <w:ilvl w:val="0"/>
          <w:numId w:val="19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7AC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Zadanie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nastavenia inventarizácie</w:t>
      </w:r>
    </w:p>
    <w:p w:rsidR="00235E98" w:rsidP="00235E98" w:rsidRDefault="00235E98" w14:paraId="3985D953" w14:textId="77777777">
      <w:pPr>
        <w:pStyle w:val="paragraph"/>
        <w:numPr>
          <w:ilvl w:val="0"/>
          <w:numId w:val="19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Spracovanie nastavenia inventarizácie</w:t>
      </w:r>
    </w:p>
    <w:p w:rsidR="00235E98" w:rsidP="00235E98" w:rsidRDefault="00235E98" w14:paraId="5EEF0F1B" w14:textId="77777777">
      <w:pPr>
        <w:pStyle w:val="paragraph"/>
        <w:numPr>
          <w:ilvl w:val="0"/>
          <w:numId w:val="19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Nastavenie zrealizované</w:t>
      </w:r>
    </w:p>
    <w:p w:rsidR="00235E98" w:rsidP="00235E98" w:rsidRDefault="00235E98" w14:paraId="1423635E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235E98" w:rsidP="00235E98" w:rsidRDefault="00235E98" w14:paraId="2CA7B77C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77276CD" wp14:editId="3D446A51">
            <wp:extent cx="5705475" cy="1285875"/>
            <wp:effectExtent l="0" t="0" r="9525" b="952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F7865" w:rsidR="00235E98" w:rsidP="00235E98" w:rsidRDefault="00235E98" w14:paraId="3936DB93" w14:textId="77777777">
      <w:pPr>
        <w:pStyle w:val="Caption"/>
        <w:keepNext/>
        <w:rPr>
          <w:rFonts w:cstheme="minorHAnsi"/>
          <w:sz w:val="22"/>
          <w:szCs w:val="22"/>
        </w:rPr>
      </w:pPr>
      <w:r w:rsidRPr="003F7865">
        <w:rPr>
          <w:rFonts w:cstheme="minorHAnsi"/>
          <w:sz w:val="22"/>
          <w:szCs w:val="22"/>
        </w:rPr>
        <w:t xml:space="preserve">Obrázok </w:t>
      </w:r>
      <w:r>
        <w:rPr>
          <w:rFonts w:cstheme="minorHAnsi"/>
          <w:sz w:val="22"/>
          <w:szCs w:val="22"/>
        </w:rPr>
        <w:t>2</w:t>
      </w:r>
      <w:r w:rsidRPr="003F7865">
        <w:rPr>
          <w:rFonts w:cstheme="minorHAnsi"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Ilustrácia obrazovky na nastavenie inventarizácie</w:t>
      </w:r>
    </w:p>
    <w:p w:rsidR="00235E98" w:rsidP="00235E98" w:rsidRDefault="00235E98" w14:paraId="089273D7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235E98" w:rsidP="00235E98" w:rsidRDefault="00235E98" w14:paraId="7572C5FC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4AF8916" wp14:editId="5D2AB46F">
            <wp:extent cx="4924425" cy="2028825"/>
            <wp:effectExtent l="0" t="0" r="9525" b="9525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98" w:rsidP="00235E98" w:rsidRDefault="00235E98" w14:paraId="4F224E4E" w14:textId="77777777">
      <w:pPr>
        <w:pStyle w:val="Caption"/>
        <w:keepNext/>
        <w:rPr>
          <w:rFonts w:cstheme="minorHAnsi"/>
          <w:sz w:val="22"/>
          <w:szCs w:val="22"/>
        </w:rPr>
      </w:pPr>
      <w:r w:rsidRPr="003F7865">
        <w:rPr>
          <w:rFonts w:cstheme="minorHAnsi"/>
          <w:sz w:val="22"/>
          <w:szCs w:val="22"/>
        </w:rPr>
        <w:t xml:space="preserve">Obrázok </w:t>
      </w:r>
      <w:r>
        <w:rPr>
          <w:rFonts w:cstheme="minorHAnsi"/>
          <w:sz w:val="22"/>
          <w:szCs w:val="22"/>
        </w:rPr>
        <w:t>3</w:t>
      </w:r>
      <w:r w:rsidRPr="003F7865">
        <w:rPr>
          <w:rFonts w:cstheme="minorHAnsi"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Ilustrácia obrazovky na nastavenie inventarizácie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422"/>
        <w:gridCol w:w="1084"/>
        <w:gridCol w:w="1192"/>
        <w:gridCol w:w="2090"/>
        <w:gridCol w:w="1287"/>
        <w:gridCol w:w="1701"/>
      </w:tblGrid>
      <w:tr w:rsidRPr="003F7865" w:rsidR="00235E98" w:rsidTr="00A13799" w14:paraId="53B909EC" w14:textId="77777777">
        <w:trPr>
          <w:trHeight w:val="295"/>
        </w:trPr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3F7865" w:rsidR="00235E98" w:rsidP="00A13799" w:rsidRDefault="00235E98" w14:paraId="7222E69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3F7865" w:rsidR="00235E98" w:rsidP="00A13799" w:rsidRDefault="00235E98" w14:paraId="3FF624E6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VSTUP[x]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3F7865" w:rsidR="00235E98" w:rsidP="00A13799" w:rsidRDefault="00235E98" w14:paraId="60F25BCD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VÝSTUP[x] 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3F7865" w:rsidR="00235E98" w:rsidP="00A13799" w:rsidRDefault="00235E98" w14:paraId="4CB8B5E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ČÍSELNÍK[názov/tab]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3F7865" w:rsidR="00235E98" w:rsidP="00A13799" w:rsidRDefault="00235E98" w14:paraId="6527C82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M.CODE[x]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3F7865" w:rsidR="00235E98" w:rsidP="00A13799" w:rsidRDefault="00235E98" w14:paraId="4237049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POVINNÝ[x|D*]</w:t>
            </w:r>
          </w:p>
        </w:tc>
      </w:tr>
      <w:tr w:rsidRPr="003F7865" w:rsidR="00235E98" w:rsidTr="00A13799" w14:paraId="2FC5D8B5" w14:textId="77777777">
        <w:trPr>
          <w:trHeight w:val="295"/>
        </w:trPr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7CBE8B7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„vývoj ABAP“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34F9EB57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72C6339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38B6BAB1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5524FC08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06E58FAF" w14:textId="77777777">
            <w:pPr>
              <w:spacing w:after="0" w:line="259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Pr="003F7865" w:rsidR="00235E98" w:rsidTr="00A13799" w14:paraId="34CF5F02" w14:textId="77777777">
        <w:trPr>
          <w:trHeight w:val="295"/>
        </w:trPr>
        <w:tc>
          <w:tcPr>
            <w:tcW w:w="2422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54177111" w14:textId="77777777">
            <w:pPr>
              <w:spacing w:after="0"/>
              <w:ind w:hanging="120"/>
              <w:rPr>
                <w:rFonts w:cstheme="minorHAnsi"/>
                <w:i/>
                <w:iCs/>
                <w:color w:val="44546A" w:themeColor="text2"/>
              </w:rPr>
            </w:pPr>
            <w:r w:rsidRPr="003F7865">
              <w:rPr>
                <w:rFonts w:cstheme="minorHAnsi"/>
                <w:i/>
                <w:iCs/>
                <w:color w:val="44546A" w:themeColor="text2"/>
              </w:rPr>
              <w:t xml:space="preserve">Tabuľka </w:t>
            </w:r>
            <w:r>
              <w:rPr>
                <w:rFonts w:cstheme="minorHAnsi"/>
                <w:i/>
                <w:iCs/>
                <w:color w:val="44546A" w:themeColor="text2"/>
              </w:rPr>
              <w:t>3</w:t>
            </w:r>
            <w:r w:rsidRPr="003F7865">
              <w:rPr>
                <w:rFonts w:cstheme="minorHAnsi"/>
                <w:i/>
                <w:iCs/>
                <w:color w:val="44546A" w:themeColor="text2"/>
              </w:rPr>
              <w:t xml:space="preserve"> – Zoznam polí</w:t>
            </w:r>
          </w:p>
        </w:tc>
        <w:tc>
          <w:tcPr>
            <w:tcW w:w="1084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225986CC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5F950FF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90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74930226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7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46C65035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40FFEA61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</w:tbl>
    <w:p w:rsidR="00235E98" w:rsidP="00235E98" w:rsidRDefault="00235E98" w14:paraId="127CAC6A" w14:textId="77777777"/>
    <w:p w:rsidR="00235E98" w:rsidP="00235E98" w:rsidRDefault="00235E98" w14:paraId="53EF2C6F" w14:textId="77777777"/>
    <w:p w:rsidRPr="00173D36" w:rsidR="00235E98" w:rsidP="00235E98" w:rsidRDefault="00235E98" w14:paraId="19887492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90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248"/>
        <w:gridCol w:w="3396"/>
        <w:gridCol w:w="4394"/>
      </w:tblGrid>
      <w:tr w:rsidRPr="003F7865" w:rsidR="00235E98" w:rsidTr="00A13799" w14:paraId="2D2EED47" w14:textId="77777777">
        <w:trPr>
          <w:trHeight w:val="263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E04CF" w:rsidR="00235E98" w:rsidP="00A13799" w:rsidRDefault="00235E98" w14:paraId="22ECBB24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9E04CF">
              <w:rPr>
                <w:rFonts w:eastAsia="Times New Roman" w:cstheme="minorHAnsi"/>
                <w:b/>
                <w:bCs/>
                <w:color w:val="000000"/>
              </w:rPr>
              <w:t>Rola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6ED40D19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Theme="majorEastAsia" w:cstheme="minorHAnsi"/>
              </w:rPr>
              <w:t>M22.0</w:t>
            </w:r>
            <w:r>
              <w:rPr>
                <w:rFonts w:eastAsiaTheme="majorEastAsia" w:cstheme="minorHAnsi"/>
              </w:rPr>
              <w:t>15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F3225" w:rsidR="00235E98" w:rsidP="00A13799" w:rsidRDefault="00235E98" w14:paraId="58075AB0" w14:textId="77777777">
            <w:pPr>
              <w:spacing w:after="0"/>
              <w:rPr>
                <w:rFonts w:eastAsiaTheme="majorEastAsia" w:cstheme="minorHAnsi"/>
              </w:rPr>
            </w:pPr>
            <w:r>
              <w:rPr>
                <w:rFonts w:ascii="Calibri" w:hAnsi="Calibri" w:eastAsia="Times New Roman" w:cs="Calibri"/>
                <w:lang w:eastAsia="sk-SK"/>
              </w:rPr>
              <w:t>Spracovateľ inventarizácie majetku</w:t>
            </w:r>
          </w:p>
        </w:tc>
      </w:tr>
      <w:tr w:rsidRPr="003F7865" w:rsidR="00235E98" w:rsidTr="00A13799" w14:paraId="6D739069" w14:textId="77777777">
        <w:trPr>
          <w:trHeight w:val="263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E04CF" w:rsidR="00235E98" w:rsidP="00A13799" w:rsidRDefault="00235E98" w14:paraId="7C518060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9E04CF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5DB6DCEF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Theme="majorEastAsia" w:cstheme="minorHAnsi"/>
              </w:rPr>
              <w:t>M22.0</w:t>
            </w:r>
            <w:r>
              <w:rPr>
                <w:rFonts w:eastAsiaTheme="majorEastAsia" w:cstheme="minorHAnsi"/>
              </w:rPr>
              <w:t>15</w:t>
            </w:r>
            <w:r w:rsidRPr="003F7865">
              <w:rPr>
                <w:rFonts w:eastAsiaTheme="majorEastAsia" w:cstheme="minorHAnsi"/>
              </w:rPr>
              <w:t>.</w:t>
            </w:r>
            <w:r>
              <w:rPr>
                <w:rFonts w:eastAsiaTheme="majorEastAsia" w:cstheme="minorHAnsi"/>
              </w:rPr>
              <w:t>Z</w:t>
            </w:r>
            <w:r w:rsidRPr="003F7865">
              <w:rPr>
                <w:rFonts w:eastAsiaTheme="majorEastAsia" w:cstheme="minorHAnsi"/>
              </w:rPr>
              <w:t>.0000</w:t>
            </w:r>
            <w:r>
              <w:rPr>
                <w:rFonts w:eastAsiaTheme="majorEastAsia" w:cstheme="minorHAnsi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4B46929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Stanovenie komisií a dávok spracovania pre</w:t>
            </w:r>
            <w:r w:rsidRPr="00DD48F5">
              <w:rPr>
                <w:rFonts w:cstheme="minorHAnsi"/>
                <w:color w:val="000000"/>
              </w:rPr>
              <w:t xml:space="preserve"> inventarizáci</w:t>
            </w:r>
            <w:r>
              <w:rPr>
                <w:rFonts w:cstheme="minorHAnsi"/>
                <w:color w:val="000000"/>
              </w:rPr>
              <w:t>u</w:t>
            </w:r>
            <w:r w:rsidRPr="00DD48F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majetku</w:t>
            </w:r>
          </w:p>
        </w:tc>
      </w:tr>
      <w:tr w:rsidRPr="003F7865" w:rsidR="00235E98" w:rsidTr="00A13799" w14:paraId="1E9A9555" w14:textId="77777777">
        <w:trPr>
          <w:trHeight w:val="263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E04CF" w:rsidR="00235E98" w:rsidP="00A13799" w:rsidRDefault="00235E98" w14:paraId="0578044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6848120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3F7865">
              <w:rPr>
                <w:rFonts w:eastAsia="Times New Roman" w:cstheme="minorHAnsi"/>
                <w:color w:val="000000"/>
              </w:rPr>
              <w:t>22.0</w:t>
            </w:r>
            <w:r>
              <w:rPr>
                <w:rFonts w:eastAsia="Times New Roman" w:cstheme="minorHAnsi"/>
                <w:color w:val="000000"/>
              </w:rPr>
              <w:t>15</w:t>
            </w:r>
            <w:r w:rsidRPr="003F786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Z</w:t>
            </w:r>
            <w:r w:rsidRPr="003F7865">
              <w:rPr>
                <w:rFonts w:eastAsia="Times New Roman" w:cstheme="minorHAnsi"/>
                <w:color w:val="000000"/>
              </w:rPr>
              <w:t>.0000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DD48F5" w:rsidR="00235E98" w:rsidP="00A13799" w:rsidRDefault="00235E98" w14:paraId="2FE9276F" w14:textId="77777777">
            <w:pPr>
              <w:spacing w:after="0"/>
              <w:rPr>
                <w:rFonts w:cstheme="minorHAnsi"/>
                <w:color w:val="000000"/>
              </w:rPr>
            </w:pPr>
            <w:r w:rsidRPr="00DD48F5">
              <w:rPr>
                <w:rFonts w:cstheme="minorHAnsi"/>
                <w:color w:val="000000"/>
              </w:rPr>
              <w:t xml:space="preserve">Spracovanie inventarizácie </w:t>
            </w:r>
            <w:r>
              <w:rPr>
                <w:rFonts w:cstheme="minorHAnsi"/>
                <w:color w:val="000000"/>
              </w:rPr>
              <w:t>majetku a vyhodnotenie výsledkov</w:t>
            </w:r>
          </w:p>
        </w:tc>
      </w:tr>
      <w:tr w:rsidRPr="003F7865" w:rsidR="00235E98" w:rsidTr="00A13799" w14:paraId="1690742B" w14:textId="77777777">
        <w:trPr>
          <w:trHeight w:val="263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E04CF" w:rsidR="00235E98" w:rsidP="00A13799" w:rsidRDefault="00235E98" w14:paraId="2B5FA6B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235E98" w:rsidP="00A13799" w:rsidRDefault="00235E98" w14:paraId="0F8B5CE0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3F7865">
              <w:rPr>
                <w:rFonts w:eastAsia="Times New Roman" w:cstheme="minorHAnsi"/>
                <w:color w:val="000000"/>
              </w:rPr>
              <w:t>22.0</w:t>
            </w:r>
            <w:r>
              <w:rPr>
                <w:rFonts w:eastAsia="Times New Roman" w:cstheme="minorHAnsi"/>
                <w:color w:val="000000"/>
              </w:rPr>
              <w:t>15</w:t>
            </w:r>
            <w:r w:rsidRPr="003F786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Z</w:t>
            </w:r>
            <w:r w:rsidRPr="003F7865">
              <w:rPr>
                <w:rFonts w:eastAsia="Times New Roman" w:cstheme="minorHAnsi"/>
                <w:color w:val="000000"/>
              </w:rPr>
              <w:t>.0000</w:t>
            </w: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DD48F5" w:rsidR="00235E98" w:rsidP="00A13799" w:rsidRDefault="00235E98" w14:paraId="7076BF29" w14:textId="7777777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Spracovanie výsledkov z inventarizácie</w:t>
            </w:r>
          </w:p>
        </w:tc>
      </w:tr>
      <w:tr w:rsidRPr="003F7865" w:rsidR="00235E98" w:rsidTr="00A13799" w14:paraId="3AE20229" w14:textId="77777777">
        <w:trPr>
          <w:trHeight w:val="263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E04CF" w:rsidR="00235E98" w:rsidP="00A13799" w:rsidRDefault="00235E98" w14:paraId="3EC55B3B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9E04CF">
              <w:rPr>
                <w:rFonts w:eastAsia="Times New Roman" w:cstheme="minorHAnsi"/>
                <w:b/>
                <w:bCs/>
                <w:color w:val="000000"/>
              </w:rPr>
              <w:t>Transakcia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3449B675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„vývoj ABAP“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0AE9800C" w14:textId="77777777">
            <w:pPr>
              <w:spacing w:after="0"/>
              <w:rPr>
                <w:rFonts w:eastAsiaTheme="majorEastAsia" w:cstheme="minorHAnsi"/>
              </w:rPr>
            </w:pPr>
          </w:p>
        </w:tc>
      </w:tr>
    </w:tbl>
    <w:p w:rsidRPr="00017AC7" w:rsidR="00235E98" w:rsidP="00235E98" w:rsidRDefault="00235E98" w14:paraId="0B79A269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017AC7">
        <w:rPr>
          <w:rFonts w:asciiTheme="minorHAnsi" w:hAnsiTheme="minorHAnsi" w:cstheme="minorHAnsi"/>
          <w:b/>
          <w:bCs/>
          <w:color w:val="000000"/>
          <w:lang w:eastAsia="en-US"/>
        </w:rPr>
        <w:t>Kroky v rámci transakcie:</w:t>
      </w:r>
    </w:p>
    <w:p w:rsidR="00235E98" w:rsidP="00235E98" w:rsidRDefault="00235E98" w14:paraId="54583C82" w14:textId="77777777">
      <w:pPr>
        <w:pStyle w:val="paragraph"/>
        <w:numPr>
          <w:ilvl w:val="0"/>
          <w:numId w:val="20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7AC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aloženie</w:t>
      </w:r>
      <w:r w:rsidRPr="00017AC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inventarizácie</w:t>
      </w:r>
    </w:p>
    <w:p w:rsidR="00235E98" w:rsidP="004A0D66" w:rsidRDefault="00235E98" w14:paraId="58162110" w14:textId="77777777">
      <w:pPr>
        <w:pStyle w:val="paragraph"/>
        <w:numPr>
          <w:ilvl w:val="0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Spracovanie nastavenia pre danú Inventarizáciu</w:t>
      </w:r>
    </w:p>
    <w:p w:rsidR="00235E98" w:rsidP="004A0D66" w:rsidRDefault="00235E98" w14:paraId="63FF5AD9" w14:textId="77777777">
      <w:pPr>
        <w:pStyle w:val="paragraph"/>
        <w:numPr>
          <w:ilvl w:val="1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Stanovenie Komisií</w:t>
      </w:r>
    </w:p>
    <w:p w:rsidR="00235E98" w:rsidP="004A0D66" w:rsidRDefault="00235E98" w14:paraId="564D1038" w14:textId="77777777">
      <w:pPr>
        <w:pStyle w:val="paragraph"/>
        <w:numPr>
          <w:ilvl w:val="0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Stanovenie oblastí/dávok pre vykonanie Inventarizácie majetku - Fyzická/Dokladová</w:t>
      </w:r>
    </w:p>
    <w:p w:rsidR="00235E98" w:rsidP="004A0D66" w:rsidRDefault="00235E98" w14:paraId="657428EE" w14:textId="77777777">
      <w:pPr>
        <w:pStyle w:val="paragraph"/>
        <w:numPr>
          <w:ilvl w:val="1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Stanovenie oblastí</w:t>
      </w:r>
    </w:p>
    <w:p w:rsidR="00235E98" w:rsidP="004A0D66" w:rsidRDefault="00235E98" w14:paraId="34532494" w14:textId="77777777">
      <w:pPr>
        <w:pStyle w:val="paragraph"/>
        <w:numPr>
          <w:ilvl w:val="1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Stanovenie dávok (priradenie majetku)</w:t>
      </w:r>
    </w:p>
    <w:p w:rsidR="00235E98" w:rsidP="004A0D66" w:rsidRDefault="00235E98" w14:paraId="74AF0DBD" w14:textId="77777777">
      <w:pPr>
        <w:pStyle w:val="paragraph"/>
        <w:numPr>
          <w:ilvl w:val="0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Spracovanie a vykonanie Inventarizácie majetku  (manuálne/čiarový kód)</w:t>
      </w:r>
    </w:p>
    <w:p w:rsidR="00235E98" w:rsidP="004A0D66" w:rsidRDefault="00235E98" w14:paraId="7AAF12E7" w14:textId="77777777">
      <w:pPr>
        <w:pStyle w:val="paragraph"/>
        <w:numPr>
          <w:ilvl w:val="1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Export údajov/dávok na vykonanie inventarizácie (manuálna Fyzická/Dokladová)</w:t>
      </w:r>
    </w:p>
    <w:p w:rsidR="00235E98" w:rsidP="004A0D66" w:rsidRDefault="00235E98" w14:paraId="297522E1" w14:textId="77777777">
      <w:pPr>
        <w:pStyle w:val="paragraph"/>
        <w:numPr>
          <w:ilvl w:val="1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Manuálne spracovanie/označenie majetku na základe údajov/podkladov manuálne spracovanej inventarizácie majetku</w:t>
      </w:r>
    </w:p>
    <w:p w:rsidR="00235E98" w:rsidP="004A0D66" w:rsidRDefault="00235E98" w14:paraId="0DC7C811" w14:textId="77777777">
      <w:pPr>
        <w:pStyle w:val="paragraph"/>
        <w:numPr>
          <w:ilvl w:val="1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Export údajov/dávok do mobilného zariadenia (čiarový kód)</w:t>
      </w:r>
    </w:p>
    <w:p w:rsidR="00235E98" w:rsidP="004A0D66" w:rsidRDefault="00235E98" w14:paraId="4452DBBD" w14:textId="77777777">
      <w:pPr>
        <w:pStyle w:val="paragraph"/>
        <w:numPr>
          <w:ilvl w:val="1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Import údajov/dávok z mobilného zariadenia (čiarový kód)</w:t>
      </w:r>
    </w:p>
    <w:p w:rsidR="00235E98" w:rsidP="004A0D66" w:rsidRDefault="00235E98" w14:paraId="39C4B7E7" w14:textId="77777777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235E98" w:rsidP="004A0D66" w:rsidRDefault="00235E98" w14:paraId="4ACFF561" w14:textId="77777777">
      <w:pPr>
        <w:pStyle w:val="paragraph"/>
        <w:numPr>
          <w:ilvl w:val="0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758B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Vyhodnotenie inventarizácie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Pr="00796217" w:rsidR="00235E98" w:rsidP="004A0D66" w:rsidRDefault="00235E98" w14:paraId="270569A0" w14:textId="38206741">
      <w:pPr>
        <w:pStyle w:val="paragraph"/>
        <w:spacing w:before="12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Vyhodnotenie údajov/dávok z pohľadu inventarizácie majetku (aj priebežné vyhodnocovanie)</w:t>
      </w:r>
      <w:r w:rsidR="003705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235E98" w:rsidP="004A0D66" w:rsidRDefault="00235E98" w14:paraId="15B1DB5F" w14:textId="77777777">
      <w:pPr>
        <w:pStyle w:val="paragraph"/>
        <w:numPr>
          <w:ilvl w:val="0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758B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Zapracovanie informácií do systému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235E98" w:rsidP="004A0D66" w:rsidRDefault="00235E98" w14:paraId="6339807C" w14:textId="77777777">
      <w:pPr>
        <w:pStyle w:val="paragraph"/>
        <w:spacing w:before="12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Spracovanie z prostredia inventarizácie majetku aktualizuje karty majetku o požadované údaje ako dátum poslednej inventarizácie, inventúrnu poznámku a pod.</w:t>
      </w:r>
    </w:p>
    <w:p w:rsidRPr="00E758B9" w:rsidR="00235E98" w:rsidP="004A0D66" w:rsidRDefault="00235E98" w14:paraId="3002FEFF" w14:textId="77777777">
      <w:pPr>
        <w:pStyle w:val="paragraph"/>
        <w:numPr>
          <w:ilvl w:val="0"/>
          <w:numId w:val="20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758B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Tlač výstupných protokolov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– Súpis majetku za miestnosť, Inventúrny súpis, Inventarizačný zápis sú unifikované pre systém CES a podporujú vyhodnocovanie inventarizácie majetku za organizáciu.</w:t>
      </w:r>
    </w:p>
    <w:p w:rsidR="00235E98" w:rsidP="00235E98" w:rsidRDefault="00235E98" w14:paraId="7DFD5054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235E98" w:rsidP="00235E98" w:rsidRDefault="00235E98" w14:paraId="79FFA298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A58DCF1" wp14:editId="4E20E27D">
            <wp:extent cx="2752725" cy="485775"/>
            <wp:effectExtent l="0" t="0" r="9525" b="9525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98" w:rsidP="00235E98" w:rsidRDefault="00235E98" w14:paraId="5F0D99A0" w14:textId="77777777">
      <w:pPr>
        <w:pStyle w:val="Caption"/>
        <w:keepNext/>
        <w:rPr>
          <w:rFonts w:cstheme="minorHAnsi"/>
          <w:sz w:val="22"/>
          <w:szCs w:val="22"/>
        </w:rPr>
      </w:pPr>
      <w:r w:rsidRPr="003F7865">
        <w:rPr>
          <w:rFonts w:cstheme="minorHAnsi"/>
          <w:sz w:val="22"/>
          <w:szCs w:val="22"/>
        </w:rPr>
        <w:t xml:space="preserve">Obrázok </w:t>
      </w:r>
      <w:r>
        <w:rPr>
          <w:rFonts w:cstheme="minorHAnsi"/>
          <w:sz w:val="22"/>
          <w:szCs w:val="22"/>
        </w:rPr>
        <w:t>4</w:t>
      </w:r>
      <w:r w:rsidRPr="003F7865">
        <w:rPr>
          <w:rFonts w:cstheme="minorHAnsi"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Ilustrácia obrazovky pre stanovenie komisií</w:t>
      </w:r>
    </w:p>
    <w:p w:rsidR="00235E98" w:rsidP="00235E98" w:rsidRDefault="00235E98" w14:paraId="27CB8B6F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235E98" w:rsidP="00235E98" w:rsidRDefault="00235E98" w14:paraId="46B0E1EA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5E9DC68D" wp14:editId="65D6F3B3">
            <wp:extent cx="2876550" cy="609600"/>
            <wp:effectExtent l="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98" w:rsidP="00395D9E" w:rsidRDefault="00235E98" w14:paraId="0BDC5DB3" w14:textId="717EA979">
      <w:pPr>
        <w:pStyle w:val="Caption"/>
        <w:keepNext/>
      </w:pPr>
      <w:r w:rsidRPr="003F7865">
        <w:rPr>
          <w:rFonts w:cstheme="minorHAnsi"/>
          <w:sz w:val="22"/>
          <w:szCs w:val="22"/>
        </w:rPr>
        <w:t xml:space="preserve">Obrázok </w:t>
      </w:r>
      <w:r>
        <w:rPr>
          <w:rFonts w:cstheme="minorHAnsi"/>
          <w:sz w:val="22"/>
          <w:szCs w:val="22"/>
        </w:rPr>
        <w:t>5</w:t>
      </w:r>
      <w:r w:rsidRPr="003F7865">
        <w:rPr>
          <w:rFonts w:cstheme="minorHAnsi"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Ilustrácia obrazovky pre stanovenie oblastí majetku</w:t>
      </w:r>
    </w:p>
    <w:p w:rsidR="00235E98" w:rsidP="00235E98" w:rsidRDefault="00235E98" w14:paraId="20035F17" w14:textId="77777777">
      <w:pPr>
        <w:pStyle w:val="NoSpacing"/>
      </w:pPr>
      <w:r>
        <w:rPr>
          <w:noProof/>
        </w:rPr>
        <w:drawing>
          <wp:inline distT="0" distB="0" distL="0" distR="0" wp14:anchorId="02500A20" wp14:editId="53A116E9">
            <wp:extent cx="4581525" cy="2847975"/>
            <wp:effectExtent l="0" t="0" r="9525" b="952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23B1" w:rsidR="00235E98" w:rsidP="00235E98" w:rsidRDefault="00235E98" w14:paraId="59953F6A" w14:textId="18A6F15E">
      <w:pPr>
        <w:pStyle w:val="NoSpacing"/>
        <w:rPr>
          <w:rFonts w:cstheme="minorHAnsi"/>
          <w:i/>
          <w:iCs/>
          <w:color w:val="44546A" w:themeColor="text2"/>
        </w:rPr>
      </w:pPr>
      <w:r w:rsidRPr="001723B1">
        <w:rPr>
          <w:rFonts w:cstheme="minorHAnsi"/>
          <w:i/>
          <w:iCs/>
          <w:color w:val="44546A" w:themeColor="text2"/>
        </w:rPr>
        <w:t>Obrázok 6 – Ilustrácia obrazovky pre generovanie dávok</w:t>
      </w:r>
    </w:p>
    <w:p w:rsidRPr="00173D36" w:rsidR="00235E98" w:rsidP="00235E98" w:rsidRDefault="00235E98" w14:paraId="4DAEBB4B" w14:textId="77777777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5F8C5B5" wp14:editId="13C5922A">
            <wp:extent cx="5943600" cy="2319020"/>
            <wp:effectExtent l="0" t="0" r="0" b="508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98" w:rsidP="004A0D66" w:rsidRDefault="00235E98" w14:paraId="0C93A7F9" w14:textId="7189776D">
      <w:pPr>
        <w:pStyle w:val="Caption"/>
        <w:keepNext/>
        <w:jc w:val="both"/>
      </w:pPr>
      <w:r w:rsidRPr="003F7865">
        <w:rPr>
          <w:rFonts w:cstheme="minorHAnsi"/>
          <w:sz w:val="22"/>
          <w:szCs w:val="22"/>
        </w:rPr>
        <w:t xml:space="preserve">Obrázok </w:t>
      </w:r>
      <w:r>
        <w:rPr>
          <w:rFonts w:cstheme="minorHAnsi"/>
          <w:sz w:val="22"/>
          <w:szCs w:val="22"/>
        </w:rPr>
        <w:t>7</w:t>
      </w:r>
      <w:r w:rsidRPr="003F7865">
        <w:rPr>
          <w:rFonts w:cstheme="minorHAnsi"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Ilustrácia obrazovky pre vyhodnotenie inventarizácie, zapracovanie informácií do systému a tlač výstupných protokolov</w:t>
      </w:r>
    </w:p>
    <w:p w:rsidRPr="001723B1" w:rsidR="00235E98" w:rsidP="00235E98" w:rsidRDefault="00235E98" w14:paraId="179FBBF9" w14:textId="77777777">
      <w:pPr>
        <w:pStyle w:val="NoSpacing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422"/>
        <w:gridCol w:w="1084"/>
        <w:gridCol w:w="1192"/>
        <w:gridCol w:w="2090"/>
        <w:gridCol w:w="1287"/>
        <w:gridCol w:w="1701"/>
      </w:tblGrid>
      <w:tr w:rsidRPr="003F7865" w:rsidR="00235E98" w:rsidTr="00A13799" w14:paraId="542CD0A1" w14:textId="77777777">
        <w:trPr>
          <w:trHeight w:val="295"/>
        </w:trPr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3F7865" w:rsidR="00235E98" w:rsidP="00A13799" w:rsidRDefault="00235E98" w14:paraId="65FB01F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3F7865" w:rsidR="00235E98" w:rsidP="00A13799" w:rsidRDefault="00235E98" w14:paraId="69885280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VSTUP[x]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3F7865" w:rsidR="00235E98" w:rsidP="00A13799" w:rsidRDefault="00235E98" w14:paraId="2DD1E18D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VÝSTUP[x] 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3F7865" w:rsidR="00235E98" w:rsidP="00A13799" w:rsidRDefault="00235E98" w14:paraId="67C6AB06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 ČÍSELNÍK[názov/tab]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3F7865" w:rsidR="00235E98" w:rsidP="00A13799" w:rsidRDefault="00235E98" w14:paraId="4B9BE5FD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M.CODE[x]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3F7865" w:rsidR="00235E98" w:rsidP="00A13799" w:rsidRDefault="00235E98" w14:paraId="36D2E876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7865">
              <w:rPr>
                <w:rFonts w:eastAsia="Times New Roman" w:cstheme="minorHAnsi"/>
                <w:color w:val="000000"/>
              </w:rPr>
              <w:t>POVINNÝ[x|D*]</w:t>
            </w:r>
          </w:p>
        </w:tc>
      </w:tr>
      <w:tr w:rsidRPr="003F7865" w:rsidR="00235E98" w:rsidTr="00A13799" w14:paraId="7F024E1C" w14:textId="77777777">
        <w:trPr>
          <w:trHeight w:val="295"/>
        </w:trPr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7865" w:rsidR="00235E98" w:rsidP="00A13799" w:rsidRDefault="00235E98" w14:paraId="564CA18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„vývoj ABAP“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54DEA218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7BFD66E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4362AE19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3BBDD5D1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7CC07981" w14:textId="77777777">
            <w:pPr>
              <w:spacing w:after="0" w:line="259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Pr="003F7865" w:rsidR="00235E98" w:rsidTr="00A13799" w14:paraId="544ABC73" w14:textId="77777777">
        <w:trPr>
          <w:trHeight w:val="295"/>
        </w:trPr>
        <w:tc>
          <w:tcPr>
            <w:tcW w:w="2422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167B78F1" w14:textId="77777777">
            <w:pPr>
              <w:spacing w:after="0"/>
              <w:ind w:hanging="120"/>
              <w:rPr>
                <w:rFonts w:cstheme="minorHAnsi"/>
                <w:i/>
                <w:iCs/>
                <w:color w:val="44546A" w:themeColor="text2"/>
              </w:rPr>
            </w:pPr>
            <w:r w:rsidRPr="003F7865">
              <w:rPr>
                <w:rFonts w:cstheme="minorHAnsi"/>
                <w:i/>
                <w:iCs/>
                <w:color w:val="44546A" w:themeColor="text2"/>
              </w:rPr>
              <w:t xml:space="preserve">Tabuľka </w:t>
            </w:r>
            <w:r>
              <w:rPr>
                <w:rFonts w:cstheme="minorHAnsi"/>
                <w:i/>
                <w:iCs/>
                <w:color w:val="44546A" w:themeColor="text2"/>
              </w:rPr>
              <w:t>4</w:t>
            </w:r>
            <w:r w:rsidRPr="003F7865">
              <w:rPr>
                <w:rFonts w:cstheme="minorHAnsi"/>
                <w:i/>
                <w:iCs/>
                <w:color w:val="44546A" w:themeColor="text2"/>
              </w:rPr>
              <w:t xml:space="preserve"> – Zoznam polí</w:t>
            </w:r>
          </w:p>
        </w:tc>
        <w:tc>
          <w:tcPr>
            <w:tcW w:w="1084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19DB7744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137B2AA5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90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3F7865" w:rsidR="00235E98" w:rsidP="00A13799" w:rsidRDefault="00235E98" w14:paraId="771FC598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7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18EC4744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3F7865" w:rsidR="00235E98" w:rsidP="00A13799" w:rsidRDefault="00235E98" w14:paraId="3B76B6AC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</w:tbl>
    <w:p w:rsidRPr="003F7865" w:rsidR="00235E98" w:rsidP="00235E98" w:rsidRDefault="00235E98" w14:paraId="522C6B0E" w14:textId="77777777">
      <w:pPr>
        <w:spacing w:after="0"/>
        <w:rPr>
          <w:rFonts w:cstheme="minorHAnsi"/>
        </w:rPr>
      </w:pPr>
    </w:p>
    <w:p w:rsidRPr="003F7865" w:rsidR="00B86C74" w:rsidP="00B86C74" w:rsidRDefault="00235E98" w14:paraId="1C71D9D0" w14:textId="429EE098">
      <w:pPr>
        <w:rPr>
          <w:rFonts w:cstheme="minorHAnsi"/>
        </w:rPr>
      </w:pPr>
      <w:r w:rsidRPr="003F7865">
        <w:rPr>
          <w:rFonts w:cstheme="minorHAnsi"/>
        </w:rPr>
        <w:t>*D – dynamický</w:t>
      </w:r>
    </w:p>
    <w:sectPr w:rsidRPr="003F7865" w:rsidR="00B86C74" w:rsidSect="00050C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A83"/>
    <w:multiLevelType w:val="hybridMultilevel"/>
    <w:tmpl w:val="5A9C9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83041"/>
    <w:multiLevelType w:val="multilevel"/>
    <w:tmpl w:val="F3EEA9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E94BA2"/>
    <w:multiLevelType w:val="hybridMultilevel"/>
    <w:tmpl w:val="E282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C639A1"/>
    <w:multiLevelType w:val="hybridMultilevel"/>
    <w:tmpl w:val="DE7E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D26BD"/>
    <w:multiLevelType w:val="hybridMultilevel"/>
    <w:tmpl w:val="5A9C9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  <w:lvlOverride w:ilvl="0">
      <w:startOverride w:val="3"/>
    </w:lvlOverride>
  </w:num>
  <w:num w:numId="17">
    <w:abstractNumId w:val="4"/>
  </w:num>
  <w:num w:numId="18">
    <w:abstractNumId w:val="5"/>
  </w:num>
  <w:num w:numId="19">
    <w:abstractNumId w:val="7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048A4"/>
    <w:rsid w:val="000100CC"/>
    <w:rsid w:val="00012209"/>
    <w:rsid w:val="00013DAB"/>
    <w:rsid w:val="0001681D"/>
    <w:rsid w:val="00017AC7"/>
    <w:rsid w:val="0002134E"/>
    <w:rsid w:val="00021543"/>
    <w:rsid w:val="00021A8F"/>
    <w:rsid w:val="000233E4"/>
    <w:rsid w:val="00030EF9"/>
    <w:rsid w:val="000312D4"/>
    <w:rsid w:val="000341B7"/>
    <w:rsid w:val="00037775"/>
    <w:rsid w:val="00037B36"/>
    <w:rsid w:val="0004046F"/>
    <w:rsid w:val="00041BB1"/>
    <w:rsid w:val="00044547"/>
    <w:rsid w:val="00046171"/>
    <w:rsid w:val="000469D1"/>
    <w:rsid w:val="00046D69"/>
    <w:rsid w:val="00050CD8"/>
    <w:rsid w:val="0005201D"/>
    <w:rsid w:val="00054066"/>
    <w:rsid w:val="00054565"/>
    <w:rsid w:val="00056935"/>
    <w:rsid w:val="00056AEF"/>
    <w:rsid w:val="00062A9C"/>
    <w:rsid w:val="0006339E"/>
    <w:rsid w:val="00063B89"/>
    <w:rsid w:val="00065453"/>
    <w:rsid w:val="00066120"/>
    <w:rsid w:val="00073E73"/>
    <w:rsid w:val="000747B2"/>
    <w:rsid w:val="00075183"/>
    <w:rsid w:val="000767E4"/>
    <w:rsid w:val="000803D0"/>
    <w:rsid w:val="00082579"/>
    <w:rsid w:val="000853BA"/>
    <w:rsid w:val="000861CA"/>
    <w:rsid w:val="0009371B"/>
    <w:rsid w:val="00093B76"/>
    <w:rsid w:val="00094F67"/>
    <w:rsid w:val="000A4418"/>
    <w:rsid w:val="000A59DF"/>
    <w:rsid w:val="000B4A3B"/>
    <w:rsid w:val="000B6F0F"/>
    <w:rsid w:val="000B7472"/>
    <w:rsid w:val="000C59E1"/>
    <w:rsid w:val="000C6205"/>
    <w:rsid w:val="000C689E"/>
    <w:rsid w:val="000C7BBD"/>
    <w:rsid w:val="000D7168"/>
    <w:rsid w:val="000E3239"/>
    <w:rsid w:val="000E3ACF"/>
    <w:rsid w:val="000E43B1"/>
    <w:rsid w:val="000E4FFE"/>
    <w:rsid w:val="000E7C1B"/>
    <w:rsid w:val="000F0879"/>
    <w:rsid w:val="00103980"/>
    <w:rsid w:val="001044E9"/>
    <w:rsid w:val="00110A5F"/>
    <w:rsid w:val="00111C82"/>
    <w:rsid w:val="0011209E"/>
    <w:rsid w:val="001130FB"/>
    <w:rsid w:val="00113D18"/>
    <w:rsid w:val="00116271"/>
    <w:rsid w:val="001245A4"/>
    <w:rsid w:val="00125B67"/>
    <w:rsid w:val="00127EEE"/>
    <w:rsid w:val="0013246D"/>
    <w:rsid w:val="00140192"/>
    <w:rsid w:val="00140909"/>
    <w:rsid w:val="00142D72"/>
    <w:rsid w:val="0014358C"/>
    <w:rsid w:val="0014508A"/>
    <w:rsid w:val="0014567F"/>
    <w:rsid w:val="00150954"/>
    <w:rsid w:val="00154195"/>
    <w:rsid w:val="0016093D"/>
    <w:rsid w:val="00170549"/>
    <w:rsid w:val="0017198E"/>
    <w:rsid w:val="001723B1"/>
    <w:rsid w:val="00173D36"/>
    <w:rsid w:val="00173E7D"/>
    <w:rsid w:val="00175074"/>
    <w:rsid w:val="001762F5"/>
    <w:rsid w:val="001A1EAE"/>
    <w:rsid w:val="001A4734"/>
    <w:rsid w:val="001B38B8"/>
    <w:rsid w:val="001B4110"/>
    <w:rsid w:val="001B4A78"/>
    <w:rsid w:val="001B737A"/>
    <w:rsid w:val="001B778A"/>
    <w:rsid w:val="001C0DC7"/>
    <w:rsid w:val="001C2656"/>
    <w:rsid w:val="001C2813"/>
    <w:rsid w:val="001C5B31"/>
    <w:rsid w:val="001C79E2"/>
    <w:rsid w:val="001D33D5"/>
    <w:rsid w:val="001D3F57"/>
    <w:rsid w:val="001D44F8"/>
    <w:rsid w:val="001E0E7D"/>
    <w:rsid w:val="001F6A18"/>
    <w:rsid w:val="001F7C57"/>
    <w:rsid w:val="00200156"/>
    <w:rsid w:val="002008C7"/>
    <w:rsid w:val="00203C5C"/>
    <w:rsid w:val="00206774"/>
    <w:rsid w:val="00207FC5"/>
    <w:rsid w:val="00213948"/>
    <w:rsid w:val="00213B44"/>
    <w:rsid w:val="00216D32"/>
    <w:rsid w:val="0021710C"/>
    <w:rsid w:val="002201C7"/>
    <w:rsid w:val="00220F25"/>
    <w:rsid w:val="002214F0"/>
    <w:rsid w:val="00222A81"/>
    <w:rsid w:val="002234CC"/>
    <w:rsid w:val="0022365B"/>
    <w:rsid w:val="00223DCD"/>
    <w:rsid w:val="00224F86"/>
    <w:rsid w:val="00232520"/>
    <w:rsid w:val="00233C0B"/>
    <w:rsid w:val="00235E98"/>
    <w:rsid w:val="0024041E"/>
    <w:rsid w:val="00241901"/>
    <w:rsid w:val="002472F8"/>
    <w:rsid w:val="0024784C"/>
    <w:rsid w:val="00250605"/>
    <w:rsid w:val="0025110B"/>
    <w:rsid w:val="00257E30"/>
    <w:rsid w:val="002648ED"/>
    <w:rsid w:val="00267276"/>
    <w:rsid w:val="002767E5"/>
    <w:rsid w:val="002825CA"/>
    <w:rsid w:val="00285CFE"/>
    <w:rsid w:val="0029107E"/>
    <w:rsid w:val="00295517"/>
    <w:rsid w:val="002959F2"/>
    <w:rsid w:val="002A7F69"/>
    <w:rsid w:val="002B2E5F"/>
    <w:rsid w:val="002B7AD4"/>
    <w:rsid w:val="002C27AA"/>
    <w:rsid w:val="002C48FF"/>
    <w:rsid w:val="002D18F9"/>
    <w:rsid w:val="002D2472"/>
    <w:rsid w:val="002D37AF"/>
    <w:rsid w:val="002E2375"/>
    <w:rsid w:val="002E3C53"/>
    <w:rsid w:val="002F02E0"/>
    <w:rsid w:val="002F09B3"/>
    <w:rsid w:val="002F0B0A"/>
    <w:rsid w:val="002F5991"/>
    <w:rsid w:val="00301340"/>
    <w:rsid w:val="00303620"/>
    <w:rsid w:val="0030770D"/>
    <w:rsid w:val="00312F1A"/>
    <w:rsid w:val="00313519"/>
    <w:rsid w:val="0032050D"/>
    <w:rsid w:val="00320662"/>
    <w:rsid w:val="0032248B"/>
    <w:rsid w:val="003252A0"/>
    <w:rsid w:val="00326BE8"/>
    <w:rsid w:val="0033393A"/>
    <w:rsid w:val="003370A0"/>
    <w:rsid w:val="00337E1A"/>
    <w:rsid w:val="003479C8"/>
    <w:rsid w:val="00350778"/>
    <w:rsid w:val="003524F5"/>
    <w:rsid w:val="0035527B"/>
    <w:rsid w:val="00355321"/>
    <w:rsid w:val="003609C3"/>
    <w:rsid w:val="00361197"/>
    <w:rsid w:val="003630B2"/>
    <w:rsid w:val="00364570"/>
    <w:rsid w:val="003653EF"/>
    <w:rsid w:val="003659A8"/>
    <w:rsid w:val="003705C0"/>
    <w:rsid w:val="00370628"/>
    <w:rsid w:val="003741A6"/>
    <w:rsid w:val="00374374"/>
    <w:rsid w:val="003763D2"/>
    <w:rsid w:val="00377D30"/>
    <w:rsid w:val="00381F3E"/>
    <w:rsid w:val="0038262B"/>
    <w:rsid w:val="00386BBB"/>
    <w:rsid w:val="00387009"/>
    <w:rsid w:val="00393442"/>
    <w:rsid w:val="00395D9E"/>
    <w:rsid w:val="00396F9E"/>
    <w:rsid w:val="003A2EF2"/>
    <w:rsid w:val="003A3AA4"/>
    <w:rsid w:val="003A59F5"/>
    <w:rsid w:val="003B1DFE"/>
    <w:rsid w:val="003B45CF"/>
    <w:rsid w:val="003B7FD0"/>
    <w:rsid w:val="003C318D"/>
    <w:rsid w:val="003C427D"/>
    <w:rsid w:val="003C6C8B"/>
    <w:rsid w:val="003C7371"/>
    <w:rsid w:val="003D0F7F"/>
    <w:rsid w:val="003D20D8"/>
    <w:rsid w:val="003D486A"/>
    <w:rsid w:val="003D6005"/>
    <w:rsid w:val="003D6674"/>
    <w:rsid w:val="003E01E7"/>
    <w:rsid w:val="003E0AD8"/>
    <w:rsid w:val="003E1D1D"/>
    <w:rsid w:val="003E283C"/>
    <w:rsid w:val="003E3842"/>
    <w:rsid w:val="003E488C"/>
    <w:rsid w:val="003E506C"/>
    <w:rsid w:val="003F75E1"/>
    <w:rsid w:val="003F7865"/>
    <w:rsid w:val="0040268B"/>
    <w:rsid w:val="00402F28"/>
    <w:rsid w:val="00405368"/>
    <w:rsid w:val="00405501"/>
    <w:rsid w:val="00407FFA"/>
    <w:rsid w:val="00413A9B"/>
    <w:rsid w:val="00414886"/>
    <w:rsid w:val="004148BE"/>
    <w:rsid w:val="00414EEF"/>
    <w:rsid w:val="004176DF"/>
    <w:rsid w:val="00417DCD"/>
    <w:rsid w:val="0042399B"/>
    <w:rsid w:val="00425122"/>
    <w:rsid w:val="0042689B"/>
    <w:rsid w:val="00430055"/>
    <w:rsid w:val="004341AD"/>
    <w:rsid w:val="004401F0"/>
    <w:rsid w:val="0045242B"/>
    <w:rsid w:val="00452824"/>
    <w:rsid w:val="00455B3D"/>
    <w:rsid w:val="00470483"/>
    <w:rsid w:val="00471AAA"/>
    <w:rsid w:val="00476096"/>
    <w:rsid w:val="004775D4"/>
    <w:rsid w:val="00482077"/>
    <w:rsid w:val="00484931"/>
    <w:rsid w:val="00490255"/>
    <w:rsid w:val="004A0D66"/>
    <w:rsid w:val="004A5F2F"/>
    <w:rsid w:val="004B183C"/>
    <w:rsid w:val="004B19C4"/>
    <w:rsid w:val="004B2DB8"/>
    <w:rsid w:val="004B2E9F"/>
    <w:rsid w:val="004B3962"/>
    <w:rsid w:val="004B61C8"/>
    <w:rsid w:val="004C1A13"/>
    <w:rsid w:val="004C3FDF"/>
    <w:rsid w:val="004C5473"/>
    <w:rsid w:val="004C6786"/>
    <w:rsid w:val="004C6C9F"/>
    <w:rsid w:val="004C7E2D"/>
    <w:rsid w:val="004D4F3D"/>
    <w:rsid w:val="004D5EA9"/>
    <w:rsid w:val="004E38B8"/>
    <w:rsid w:val="004E5430"/>
    <w:rsid w:val="004E76ED"/>
    <w:rsid w:val="004F0783"/>
    <w:rsid w:val="004F16DF"/>
    <w:rsid w:val="004F66B4"/>
    <w:rsid w:val="00510C61"/>
    <w:rsid w:val="005162BB"/>
    <w:rsid w:val="00524369"/>
    <w:rsid w:val="00537F07"/>
    <w:rsid w:val="005408A4"/>
    <w:rsid w:val="00541A45"/>
    <w:rsid w:val="00543FD0"/>
    <w:rsid w:val="005540DF"/>
    <w:rsid w:val="00556B13"/>
    <w:rsid w:val="005635A7"/>
    <w:rsid w:val="0056376A"/>
    <w:rsid w:val="00564338"/>
    <w:rsid w:val="0056559A"/>
    <w:rsid w:val="00567C73"/>
    <w:rsid w:val="005704D8"/>
    <w:rsid w:val="00576926"/>
    <w:rsid w:val="005835C4"/>
    <w:rsid w:val="00585562"/>
    <w:rsid w:val="0058676A"/>
    <w:rsid w:val="005909BE"/>
    <w:rsid w:val="00591B83"/>
    <w:rsid w:val="00591CE5"/>
    <w:rsid w:val="00593572"/>
    <w:rsid w:val="00593F9A"/>
    <w:rsid w:val="005A3610"/>
    <w:rsid w:val="005A4937"/>
    <w:rsid w:val="005B0F90"/>
    <w:rsid w:val="005B1C64"/>
    <w:rsid w:val="005B4D8B"/>
    <w:rsid w:val="005B7A1F"/>
    <w:rsid w:val="005C1100"/>
    <w:rsid w:val="005C157A"/>
    <w:rsid w:val="005C16E2"/>
    <w:rsid w:val="005C1E7E"/>
    <w:rsid w:val="005C526B"/>
    <w:rsid w:val="005D4ADF"/>
    <w:rsid w:val="005E1C22"/>
    <w:rsid w:val="005E3CC1"/>
    <w:rsid w:val="005E5A5F"/>
    <w:rsid w:val="005E6B17"/>
    <w:rsid w:val="005F0158"/>
    <w:rsid w:val="005F1DFF"/>
    <w:rsid w:val="005F2791"/>
    <w:rsid w:val="005F32FC"/>
    <w:rsid w:val="005F4792"/>
    <w:rsid w:val="005F4C42"/>
    <w:rsid w:val="005F7DC9"/>
    <w:rsid w:val="00600E0C"/>
    <w:rsid w:val="006031B4"/>
    <w:rsid w:val="00605531"/>
    <w:rsid w:val="0060614F"/>
    <w:rsid w:val="006127E8"/>
    <w:rsid w:val="0061464F"/>
    <w:rsid w:val="00616F62"/>
    <w:rsid w:val="00617399"/>
    <w:rsid w:val="006178A3"/>
    <w:rsid w:val="0062478D"/>
    <w:rsid w:val="00627241"/>
    <w:rsid w:val="00630080"/>
    <w:rsid w:val="00630FE5"/>
    <w:rsid w:val="00631E03"/>
    <w:rsid w:val="00633DCA"/>
    <w:rsid w:val="00642FA0"/>
    <w:rsid w:val="00643763"/>
    <w:rsid w:val="00645636"/>
    <w:rsid w:val="006469FF"/>
    <w:rsid w:val="0065309B"/>
    <w:rsid w:val="006554CF"/>
    <w:rsid w:val="006566B2"/>
    <w:rsid w:val="006626A5"/>
    <w:rsid w:val="006640E9"/>
    <w:rsid w:val="006664FE"/>
    <w:rsid w:val="006700F6"/>
    <w:rsid w:val="0067112D"/>
    <w:rsid w:val="00673125"/>
    <w:rsid w:val="00674DE5"/>
    <w:rsid w:val="00682DFE"/>
    <w:rsid w:val="006B2406"/>
    <w:rsid w:val="006B42DF"/>
    <w:rsid w:val="006B7EE7"/>
    <w:rsid w:val="006C2882"/>
    <w:rsid w:val="006C33C1"/>
    <w:rsid w:val="006D6B02"/>
    <w:rsid w:val="006E0435"/>
    <w:rsid w:val="006E210D"/>
    <w:rsid w:val="006E5492"/>
    <w:rsid w:val="006F1223"/>
    <w:rsid w:val="006F3187"/>
    <w:rsid w:val="006F3234"/>
    <w:rsid w:val="006F4120"/>
    <w:rsid w:val="006F42A9"/>
    <w:rsid w:val="006F531D"/>
    <w:rsid w:val="006F60B2"/>
    <w:rsid w:val="006F78A0"/>
    <w:rsid w:val="00705338"/>
    <w:rsid w:val="007055E9"/>
    <w:rsid w:val="00705BE2"/>
    <w:rsid w:val="00710136"/>
    <w:rsid w:val="00711CD2"/>
    <w:rsid w:val="00711D74"/>
    <w:rsid w:val="00712F3A"/>
    <w:rsid w:val="00715C33"/>
    <w:rsid w:val="00717ADE"/>
    <w:rsid w:val="00717E27"/>
    <w:rsid w:val="0072270F"/>
    <w:rsid w:val="0072511C"/>
    <w:rsid w:val="00730EC6"/>
    <w:rsid w:val="0073560D"/>
    <w:rsid w:val="007415A6"/>
    <w:rsid w:val="00741DFF"/>
    <w:rsid w:val="00741E6B"/>
    <w:rsid w:val="00741F3F"/>
    <w:rsid w:val="00745140"/>
    <w:rsid w:val="00745D86"/>
    <w:rsid w:val="0074671D"/>
    <w:rsid w:val="00750BFA"/>
    <w:rsid w:val="00755583"/>
    <w:rsid w:val="007557B5"/>
    <w:rsid w:val="007558E8"/>
    <w:rsid w:val="00760201"/>
    <w:rsid w:val="00766008"/>
    <w:rsid w:val="00766D64"/>
    <w:rsid w:val="0077004D"/>
    <w:rsid w:val="007732C5"/>
    <w:rsid w:val="007741AA"/>
    <w:rsid w:val="0077423C"/>
    <w:rsid w:val="00774A5B"/>
    <w:rsid w:val="007842F4"/>
    <w:rsid w:val="00792087"/>
    <w:rsid w:val="00792494"/>
    <w:rsid w:val="00792BC6"/>
    <w:rsid w:val="00796AD3"/>
    <w:rsid w:val="007A066C"/>
    <w:rsid w:val="007A2268"/>
    <w:rsid w:val="007A23C7"/>
    <w:rsid w:val="007A248C"/>
    <w:rsid w:val="007A2555"/>
    <w:rsid w:val="007A2D08"/>
    <w:rsid w:val="007A2E7E"/>
    <w:rsid w:val="007A6F27"/>
    <w:rsid w:val="007B1B35"/>
    <w:rsid w:val="007B23C1"/>
    <w:rsid w:val="007C03A8"/>
    <w:rsid w:val="007C32D8"/>
    <w:rsid w:val="007C45A9"/>
    <w:rsid w:val="007C676E"/>
    <w:rsid w:val="007D7F20"/>
    <w:rsid w:val="007E06EF"/>
    <w:rsid w:val="007E3513"/>
    <w:rsid w:val="007F0CB6"/>
    <w:rsid w:val="007F33A2"/>
    <w:rsid w:val="008036D8"/>
    <w:rsid w:val="0080749C"/>
    <w:rsid w:val="008113CA"/>
    <w:rsid w:val="00812ED8"/>
    <w:rsid w:val="00816EDC"/>
    <w:rsid w:val="008178DD"/>
    <w:rsid w:val="00823829"/>
    <w:rsid w:val="00834930"/>
    <w:rsid w:val="008355BB"/>
    <w:rsid w:val="00843B9D"/>
    <w:rsid w:val="00845A94"/>
    <w:rsid w:val="00845F04"/>
    <w:rsid w:val="00850A6B"/>
    <w:rsid w:val="00851288"/>
    <w:rsid w:val="00852E53"/>
    <w:rsid w:val="008539BD"/>
    <w:rsid w:val="008556D6"/>
    <w:rsid w:val="00865EB4"/>
    <w:rsid w:val="0086689B"/>
    <w:rsid w:val="0087212D"/>
    <w:rsid w:val="0087478B"/>
    <w:rsid w:val="0088187D"/>
    <w:rsid w:val="00883BD2"/>
    <w:rsid w:val="00886EEA"/>
    <w:rsid w:val="00892193"/>
    <w:rsid w:val="00895212"/>
    <w:rsid w:val="008978C6"/>
    <w:rsid w:val="008A0C39"/>
    <w:rsid w:val="008A3B4F"/>
    <w:rsid w:val="008A4792"/>
    <w:rsid w:val="008B0EBB"/>
    <w:rsid w:val="008B16DD"/>
    <w:rsid w:val="008B51C2"/>
    <w:rsid w:val="008B601F"/>
    <w:rsid w:val="008B669A"/>
    <w:rsid w:val="008B66A9"/>
    <w:rsid w:val="008C0FB0"/>
    <w:rsid w:val="008C1E9A"/>
    <w:rsid w:val="008C2CAC"/>
    <w:rsid w:val="008C5DC7"/>
    <w:rsid w:val="008C6016"/>
    <w:rsid w:val="008C6684"/>
    <w:rsid w:val="008C73C1"/>
    <w:rsid w:val="008D0605"/>
    <w:rsid w:val="008D23A5"/>
    <w:rsid w:val="008D45F7"/>
    <w:rsid w:val="008D5146"/>
    <w:rsid w:val="008E14BD"/>
    <w:rsid w:val="008E1D01"/>
    <w:rsid w:val="008E3EA2"/>
    <w:rsid w:val="008E6D19"/>
    <w:rsid w:val="008E71D1"/>
    <w:rsid w:val="008E720B"/>
    <w:rsid w:val="008F0494"/>
    <w:rsid w:val="008F715E"/>
    <w:rsid w:val="00907545"/>
    <w:rsid w:val="009135BC"/>
    <w:rsid w:val="009160A3"/>
    <w:rsid w:val="00922C37"/>
    <w:rsid w:val="00930523"/>
    <w:rsid w:val="00935F7C"/>
    <w:rsid w:val="009360AF"/>
    <w:rsid w:val="00946EF3"/>
    <w:rsid w:val="00953BC6"/>
    <w:rsid w:val="00956AFE"/>
    <w:rsid w:val="009623E8"/>
    <w:rsid w:val="00963C9D"/>
    <w:rsid w:val="009650AA"/>
    <w:rsid w:val="00972B18"/>
    <w:rsid w:val="0097582F"/>
    <w:rsid w:val="00984222"/>
    <w:rsid w:val="009931E0"/>
    <w:rsid w:val="00995F3A"/>
    <w:rsid w:val="0099624D"/>
    <w:rsid w:val="009B73A8"/>
    <w:rsid w:val="009B7412"/>
    <w:rsid w:val="009C096E"/>
    <w:rsid w:val="009C1191"/>
    <w:rsid w:val="009C709D"/>
    <w:rsid w:val="009D0C73"/>
    <w:rsid w:val="009D4256"/>
    <w:rsid w:val="009D7BF3"/>
    <w:rsid w:val="009E04CF"/>
    <w:rsid w:val="009E1AF0"/>
    <w:rsid w:val="009E2255"/>
    <w:rsid w:val="009E254A"/>
    <w:rsid w:val="009F19AF"/>
    <w:rsid w:val="009F433A"/>
    <w:rsid w:val="009F5167"/>
    <w:rsid w:val="009F79FB"/>
    <w:rsid w:val="00A01F0D"/>
    <w:rsid w:val="00A03466"/>
    <w:rsid w:val="00A1309E"/>
    <w:rsid w:val="00A136BC"/>
    <w:rsid w:val="00A17F31"/>
    <w:rsid w:val="00A22746"/>
    <w:rsid w:val="00A23300"/>
    <w:rsid w:val="00A31D75"/>
    <w:rsid w:val="00A3208F"/>
    <w:rsid w:val="00A4224C"/>
    <w:rsid w:val="00A527FF"/>
    <w:rsid w:val="00A539D3"/>
    <w:rsid w:val="00A53EC4"/>
    <w:rsid w:val="00A548FE"/>
    <w:rsid w:val="00A64E45"/>
    <w:rsid w:val="00A66A5D"/>
    <w:rsid w:val="00A66EDE"/>
    <w:rsid w:val="00A72D81"/>
    <w:rsid w:val="00A72FDB"/>
    <w:rsid w:val="00A740AD"/>
    <w:rsid w:val="00A755B3"/>
    <w:rsid w:val="00A755E6"/>
    <w:rsid w:val="00A76EA4"/>
    <w:rsid w:val="00A7721D"/>
    <w:rsid w:val="00A82062"/>
    <w:rsid w:val="00A94724"/>
    <w:rsid w:val="00A94B7B"/>
    <w:rsid w:val="00A972BE"/>
    <w:rsid w:val="00A9743F"/>
    <w:rsid w:val="00A97DF7"/>
    <w:rsid w:val="00AA0FB5"/>
    <w:rsid w:val="00AA11ED"/>
    <w:rsid w:val="00AA1C2E"/>
    <w:rsid w:val="00AA1FD5"/>
    <w:rsid w:val="00AA292D"/>
    <w:rsid w:val="00AA2F3D"/>
    <w:rsid w:val="00AA4969"/>
    <w:rsid w:val="00AA62C7"/>
    <w:rsid w:val="00AA6FA9"/>
    <w:rsid w:val="00AA7E8F"/>
    <w:rsid w:val="00AB10B6"/>
    <w:rsid w:val="00AB1DFE"/>
    <w:rsid w:val="00AB6266"/>
    <w:rsid w:val="00AB6332"/>
    <w:rsid w:val="00AC0883"/>
    <w:rsid w:val="00AC308E"/>
    <w:rsid w:val="00AC5926"/>
    <w:rsid w:val="00AD054D"/>
    <w:rsid w:val="00AD3B78"/>
    <w:rsid w:val="00AD4C52"/>
    <w:rsid w:val="00AD78FC"/>
    <w:rsid w:val="00AE1A2D"/>
    <w:rsid w:val="00AE25FE"/>
    <w:rsid w:val="00AE50F5"/>
    <w:rsid w:val="00AE52FF"/>
    <w:rsid w:val="00AE5F40"/>
    <w:rsid w:val="00AE7D40"/>
    <w:rsid w:val="00AE7DE7"/>
    <w:rsid w:val="00B02C78"/>
    <w:rsid w:val="00B031F9"/>
    <w:rsid w:val="00B05682"/>
    <w:rsid w:val="00B13115"/>
    <w:rsid w:val="00B14CDD"/>
    <w:rsid w:val="00B150E7"/>
    <w:rsid w:val="00B15D71"/>
    <w:rsid w:val="00B2021E"/>
    <w:rsid w:val="00B20BEC"/>
    <w:rsid w:val="00B260F9"/>
    <w:rsid w:val="00B30794"/>
    <w:rsid w:val="00B31C82"/>
    <w:rsid w:val="00B32F96"/>
    <w:rsid w:val="00B44F13"/>
    <w:rsid w:val="00B50EE3"/>
    <w:rsid w:val="00B51936"/>
    <w:rsid w:val="00B539CD"/>
    <w:rsid w:val="00B5791E"/>
    <w:rsid w:val="00B63357"/>
    <w:rsid w:val="00B63A8E"/>
    <w:rsid w:val="00B64BAF"/>
    <w:rsid w:val="00B701E3"/>
    <w:rsid w:val="00B73138"/>
    <w:rsid w:val="00B74735"/>
    <w:rsid w:val="00B81FBE"/>
    <w:rsid w:val="00B86C74"/>
    <w:rsid w:val="00B90C89"/>
    <w:rsid w:val="00B959E6"/>
    <w:rsid w:val="00B963FA"/>
    <w:rsid w:val="00BA33E0"/>
    <w:rsid w:val="00BA4553"/>
    <w:rsid w:val="00BA7D00"/>
    <w:rsid w:val="00BB03F2"/>
    <w:rsid w:val="00BB0BC6"/>
    <w:rsid w:val="00BC0419"/>
    <w:rsid w:val="00BC13E0"/>
    <w:rsid w:val="00BC2EDC"/>
    <w:rsid w:val="00BC3162"/>
    <w:rsid w:val="00BC3480"/>
    <w:rsid w:val="00BC7925"/>
    <w:rsid w:val="00BD0C4D"/>
    <w:rsid w:val="00BD3C2F"/>
    <w:rsid w:val="00BE0357"/>
    <w:rsid w:val="00BE18D3"/>
    <w:rsid w:val="00BE6E21"/>
    <w:rsid w:val="00BF260B"/>
    <w:rsid w:val="00BF47F5"/>
    <w:rsid w:val="00C01972"/>
    <w:rsid w:val="00C04C21"/>
    <w:rsid w:val="00C10EBC"/>
    <w:rsid w:val="00C148DF"/>
    <w:rsid w:val="00C15DC6"/>
    <w:rsid w:val="00C16FEB"/>
    <w:rsid w:val="00C21772"/>
    <w:rsid w:val="00C21E04"/>
    <w:rsid w:val="00C249BA"/>
    <w:rsid w:val="00C34F78"/>
    <w:rsid w:val="00C46365"/>
    <w:rsid w:val="00C463B3"/>
    <w:rsid w:val="00C4754B"/>
    <w:rsid w:val="00C51EE0"/>
    <w:rsid w:val="00C53D6C"/>
    <w:rsid w:val="00C556EB"/>
    <w:rsid w:val="00C57C7E"/>
    <w:rsid w:val="00C63184"/>
    <w:rsid w:val="00C64463"/>
    <w:rsid w:val="00C74F19"/>
    <w:rsid w:val="00C77A6D"/>
    <w:rsid w:val="00C939BF"/>
    <w:rsid w:val="00C947C1"/>
    <w:rsid w:val="00C94F88"/>
    <w:rsid w:val="00CA0916"/>
    <w:rsid w:val="00CA1FE8"/>
    <w:rsid w:val="00CA769D"/>
    <w:rsid w:val="00CB1A32"/>
    <w:rsid w:val="00CB26C3"/>
    <w:rsid w:val="00CB3DF3"/>
    <w:rsid w:val="00CB6980"/>
    <w:rsid w:val="00CC2138"/>
    <w:rsid w:val="00CC2C8C"/>
    <w:rsid w:val="00CC3EA1"/>
    <w:rsid w:val="00CC4EFC"/>
    <w:rsid w:val="00CD0A86"/>
    <w:rsid w:val="00CD3A87"/>
    <w:rsid w:val="00CD7F61"/>
    <w:rsid w:val="00CE57B5"/>
    <w:rsid w:val="00CE6833"/>
    <w:rsid w:val="00CE7FF7"/>
    <w:rsid w:val="00CF2F87"/>
    <w:rsid w:val="00D001F7"/>
    <w:rsid w:val="00D03149"/>
    <w:rsid w:val="00D0563F"/>
    <w:rsid w:val="00D11B1C"/>
    <w:rsid w:val="00D12D28"/>
    <w:rsid w:val="00D15CCE"/>
    <w:rsid w:val="00D16894"/>
    <w:rsid w:val="00D21643"/>
    <w:rsid w:val="00D2368B"/>
    <w:rsid w:val="00D31052"/>
    <w:rsid w:val="00D31F62"/>
    <w:rsid w:val="00D343DC"/>
    <w:rsid w:val="00D34802"/>
    <w:rsid w:val="00D3524B"/>
    <w:rsid w:val="00D414D8"/>
    <w:rsid w:val="00D41D2D"/>
    <w:rsid w:val="00D50082"/>
    <w:rsid w:val="00D50532"/>
    <w:rsid w:val="00D505B4"/>
    <w:rsid w:val="00D57A26"/>
    <w:rsid w:val="00D65345"/>
    <w:rsid w:val="00D66301"/>
    <w:rsid w:val="00D703C2"/>
    <w:rsid w:val="00D71594"/>
    <w:rsid w:val="00D73E19"/>
    <w:rsid w:val="00D7635C"/>
    <w:rsid w:val="00D76F45"/>
    <w:rsid w:val="00D8487E"/>
    <w:rsid w:val="00D85E55"/>
    <w:rsid w:val="00D9244F"/>
    <w:rsid w:val="00D932D5"/>
    <w:rsid w:val="00D9415C"/>
    <w:rsid w:val="00D94557"/>
    <w:rsid w:val="00D95CB1"/>
    <w:rsid w:val="00D97DAC"/>
    <w:rsid w:val="00DA0770"/>
    <w:rsid w:val="00DA3284"/>
    <w:rsid w:val="00DB0A3A"/>
    <w:rsid w:val="00DB3FA8"/>
    <w:rsid w:val="00DB59D8"/>
    <w:rsid w:val="00DC0AE2"/>
    <w:rsid w:val="00DC2C3E"/>
    <w:rsid w:val="00DC3DBD"/>
    <w:rsid w:val="00DD4317"/>
    <w:rsid w:val="00DD5CDD"/>
    <w:rsid w:val="00DD6154"/>
    <w:rsid w:val="00DE11D3"/>
    <w:rsid w:val="00DE43DC"/>
    <w:rsid w:val="00DE6C2F"/>
    <w:rsid w:val="00DE7709"/>
    <w:rsid w:val="00DF0C92"/>
    <w:rsid w:val="00DF20A7"/>
    <w:rsid w:val="00DF2D78"/>
    <w:rsid w:val="00DF710F"/>
    <w:rsid w:val="00E01488"/>
    <w:rsid w:val="00E038CA"/>
    <w:rsid w:val="00E04E2B"/>
    <w:rsid w:val="00E1125D"/>
    <w:rsid w:val="00E11452"/>
    <w:rsid w:val="00E12ED9"/>
    <w:rsid w:val="00E1411A"/>
    <w:rsid w:val="00E254EE"/>
    <w:rsid w:val="00E265D5"/>
    <w:rsid w:val="00E30172"/>
    <w:rsid w:val="00E322BA"/>
    <w:rsid w:val="00E3278D"/>
    <w:rsid w:val="00E411FA"/>
    <w:rsid w:val="00E5268D"/>
    <w:rsid w:val="00E57AD8"/>
    <w:rsid w:val="00E61A80"/>
    <w:rsid w:val="00E63755"/>
    <w:rsid w:val="00E63DBA"/>
    <w:rsid w:val="00E758B9"/>
    <w:rsid w:val="00E75DDD"/>
    <w:rsid w:val="00E81210"/>
    <w:rsid w:val="00E83D45"/>
    <w:rsid w:val="00E84D98"/>
    <w:rsid w:val="00E853E4"/>
    <w:rsid w:val="00E91429"/>
    <w:rsid w:val="00E91C9A"/>
    <w:rsid w:val="00E92254"/>
    <w:rsid w:val="00E95670"/>
    <w:rsid w:val="00E96BC1"/>
    <w:rsid w:val="00E97D23"/>
    <w:rsid w:val="00EA045E"/>
    <w:rsid w:val="00EA21AE"/>
    <w:rsid w:val="00EA241A"/>
    <w:rsid w:val="00EA6062"/>
    <w:rsid w:val="00EA7910"/>
    <w:rsid w:val="00EB1A05"/>
    <w:rsid w:val="00EB73A1"/>
    <w:rsid w:val="00EC170B"/>
    <w:rsid w:val="00EC2386"/>
    <w:rsid w:val="00EC3F70"/>
    <w:rsid w:val="00EE2C58"/>
    <w:rsid w:val="00EE33B9"/>
    <w:rsid w:val="00EE51FA"/>
    <w:rsid w:val="00EE52D8"/>
    <w:rsid w:val="00EF0D96"/>
    <w:rsid w:val="00EF31B9"/>
    <w:rsid w:val="00EF515B"/>
    <w:rsid w:val="00F026A7"/>
    <w:rsid w:val="00F101E6"/>
    <w:rsid w:val="00F117C6"/>
    <w:rsid w:val="00F129B6"/>
    <w:rsid w:val="00F21218"/>
    <w:rsid w:val="00F2788B"/>
    <w:rsid w:val="00F27A1D"/>
    <w:rsid w:val="00F27E85"/>
    <w:rsid w:val="00F301CC"/>
    <w:rsid w:val="00F307AF"/>
    <w:rsid w:val="00F313EC"/>
    <w:rsid w:val="00F3392C"/>
    <w:rsid w:val="00F34864"/>
    <w:rsid w:val="00F35FCB"/>
    <w:rsid w:val="00F42CB2"/>
    <w:rsid w:val="00F42D19"/>
    <w:rsid w:val="00F55388"/>
    <w:rsid w:val="00F561D1"/>
    <w:rsid w:val="00F61DC6"/>
    <w:rsid w:val="00F646D5"/>
    <w:rsid w:val="00F755E0"/>
    <w:rsid w:val="00F75C24"/>
    <w:rsid w:val="00F778D6"/>
    <w:rsid w:val="00F8156F"/>
    <w:rsid w:val="00F86C04"/>
    <w:rsid w:val="00F9270A"/>
    <w:rsid w:val="00F92882"/>
    <w:rsid w:val="00F936F0"/>
    <w:rsid w:val="00F9481C"/>
    <w:rsid w:val="00F97822"/>
    <w:rsid w:val="00FA0C84"/>
    <w:rsid w:val="00FA47F1"/>
    <w:rsid w:val="00FB2657"/>
    <w:rsid w:val="00FB3C43"/>
    <w:rsid w:val="00FB4909"/>
    <w:rsid w:val="00FB4BBE"/>
    <w:rsid w:val="00FB4DD2"/>
    <w:rsid w:val="00FB756A"/>
    <w:rsid w:val="00FC058B"/>
    <w:rsid w:val="00FD04D8"/>
    <w:rsid w:val="00FD23F0"/>
    <w:rsid w:val="00FD41B4"/>
    <w:rsid w:val="00FD7792"/>
    <w:rsid w:val="00FE00D4"/>
    <w:rsid w:val="00FE30C0"/>
    <w:rsid w:val="00FF0132"/>
    <w:rsid w:val="00FF2480"/>
    <w:rsid w:val="00FF2CC1"/>
    <w:rsid w:val="00FF3225"/>
    <w:rsid w:val="00FF5187"/>
    <w:rsid w:val="00FF5B69"/>
    <w:rsid w:val="00FF70E2"/>
    <w:rsid w:val="03A85247"/>
    <w:rsid w:val="0926D135"/>
    <w:rsid w:val="0C2ACC01"/>
    <w:rsid w:val="0D0E6CEB"/>
    <w:rsid w:val="1055EE23"/>
    <w:rsid w:val="137DAE6F"/>
    <w:rsid w:val="15F272AE"/>
    <w:rsid w:val="18369252"/>
    <w:rsid w:val="19E283CB"/>
    <w:rsid w:val="1DC79178"/>
    <w:rsid w:val="24010C12"/>
    <w:rsid w:val="24D666FC"/>
    <w:rsid w:val="26830E67"/>
    <w:rsid w:val="27A0CFD2"/>
    <w:rsid w:val="27A60D91"/>
    <w:rsid w:val="2A57056F"/>
    <w:rsid w:val="2B53BF4E"/>
    <w:rsid w:val="2E647264"/>
    <w:rsid w:val="315832DF"/>
    <w:rsid w:val="31AB55BF"/>
    <w:rsid w:val="330FFDA7"/>
    <w:rsid w:val="338417B5"/>
    <w:rsid w:val="3622A962"/>
    <w:rsid w:val="37785656"/>
    <w:rsid w:val="3D43E2F4"/>
    <w:rsid w:val="4183DA34"/>
    <w:rsid w:val="4945032E"/>
    <w:rsid w:val="49F3DBEE"/>
    <w:rsid w:val="4B8BA9FE"/>
    <w:rsid w:val="4F90CF0A"/>
    <w:rsid w:val="527F4984"/>
    <w:rsid w:val="540532EC"/>
    <w:rsid w:val="5408D6B1"/>
    <w:rsid w:val="54C5E36A"/>
    <w:rsid w:val="570B75F3"/>
    <w:rsid w:val="5CD54EDD"/>
    <w:rsid w:val="66C2B6C7"/>
    <w:rsid w:val="719A0D04"/>
    <w:rsid w:val="74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A19419A5-D587-404C-8834-31A83D11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5BB"/>
    <w:pPr>
      <w:ind w:left="0" w:firstLine="0"/>
    </w:pPr>
    <w:rPr>
      <w:lang w:val="sk-SK"/>
    </w:rPr>
  </w:style>
  <w:style w:type="paragraph" w:styleId="Heading1">
    <w:name w:val="heading 1"/>
    <w:basedOn w:val="Normal"/>
    <w:next w:val="Normal"/>
    <w:link w:val="Heading1Char"/>
    <w:autoRedefine/>
    <w:qFormat/>
    <w:rsid w:val="009E254A"/>
    <w:pPr>
      <w:keepNext/>
      <w:pageBreakBefore/>
      <w:numPr>
        <w:numId w:val="10"/>
      </w:numPr>
      <w:overflowPunct w:val="0"/>
      <w:autoSpaceDE w:val="0"/>
      <w:autoSpaceDN w:val="0"/>
      <w:adjustRightInd w:val="0"/>
      <w:contextualSpacing/>
      <w:textAlignment w:val="baseline"/>
      <w:outlineLvl w:val="0"/>
    </w:pPr>
    <w:rPr>
      <w:rFonts w:eastAsia="Times New Roman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48DF"/>
    <w:pPr>
      <w:keepNext/>
      <w:keepLines/>
      <w:spacing w:after="100" w:afterAutospacing="1" w:line="276" w:lineRule="auto"/>
      <w:outlineLvl w:val="1"/>
    </w:pPr>
    <w:rPr>
      <w:rFonts w:eastAsia="Times New Roman" w:cs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9E254A"/>
    <w:rPr>
      <w:rFonts w:eastAsia="Times New Roman" w:cstheme="minorHAnsi"/>
      <w:b/>
      <w:sz w:val="28"/>
      <w:szCs w:val="28"/>
      <w:lang w:val="sk-SK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hAnsi="Calibri" w:eastAsiaTheme="majorEastAsia" w:cstheme="majorBidi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4567F"/>
    <w:rPr>
      <w:rFonts w:ascii="Calibri" w:hAnsi="Calibri" w:eastAsiaTheme="majorEastAsia" w:cstheme="majorBidi"/>
      <w:b/>
      <w:spacing w:val="-10"/>
      <w:kern w:val="28"/>
      <w:sz w:val="28"/>
      <w:szCs w:val="56"/>
      <w:lang w:val="sk-SK"/>
    </w:rPr>
  </w:style>
  <w:style w:type="character" w:styleId="Heading2Char" w:customStyle="1">
    <w:name w:val="Heading 2 Char"/>
    <w:basedOn w:val="DefaultParagraphFont"/>
    <w:link w:val="Heading2"/>
    <w:uiPriority w:val="9"/>
    <w:rsid w:val="00C148DF"/>
    <w:rPr>
      <w:rFonts w:eastAsia="Times New Roman" w:cstheme="minorHAnsi"/>
      <w:b/>
      <w:sz w:val="24"/>
      <w:szCs w:val="24"/>
      <w:lang w:val="sk-SK"/>
    </w:rPr>
  </w:style>
  <w:style w:type="character" w:styleId="Heading3Char" w:customStyle="1">
    <w:name w:val="Heading 3 Char"/>
    <w:basedOn w:val="DefaultParagraphFont"/>
    <w:link w:val="Heading3"/>
    <w:uiPriority w:val="9"/>
    <w:rsid w:val="005B0F90"/>
    <w:rPr>
      <w:rFonts w:asciiTheme="majorHAnsi" w:hAnsiTheme="majorHAnsi" w:eastAsiaTheme="majorEastAsia" w:cstheme="majorBidi"/>
      <w:color w:val="1F3763" w:themeColor="accent1" w:themeShade="7F"/>
      <w:szCs w:val="24"/>
      <w:lang w:val="sk-SK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12F3A"/>
    <w:rPr>
      <w:rFonts w:asciiTheme="majorHAnsi" w:hAnsiTheme="majorHAnsi" w:eastAsiaTheme="majorEastAsia" w:cstheme="majorBidi"/>
      <w:i/>
      <w:iCs/>
      <w:color w:val="2F5496" w:themeColor="accent1" w:themeShade="BF"/>
      <w:lang w:val="sk-SK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12F3A"/>
    <w:rPr>
      <w:rFonts w:asciiTheme="majorHAnsi" w:hAnsiTheme="majorHAnsi" w:eastAsiaTheme="majorEastAsia" w:cstheme="majorBidi"/>
      <w:color w:val="2F5496" w:themeColor="accent1" w:themeShade="BF"/>
      <w:lang w:val="sk-SK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12F3A"/>
    <w:rPr>
      <w:rFonts w:asciiTheme="majorHAnsi" w:hAnsiTheme="majorHAnsi" w:eastAsiaTheme="majorEastAsia" w:cstheme="majorBidi"/>
      <w:color w:val="1F3763" w:themeColor="accent1" w:themeShade="7F"/>
      <w:lang w:val="sk-SK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12F3A"/>
    <w:rPr>
      <w:rFonts w:asciiTheme="majorHAnsi" w:hAnsiTheme="majorHAnsi" w:eastAsiaTheme="majorEastAsia" w:cstheme="majorBidi"/>
      <w:i/>
      <w:iCs/>
      <w:color w:val="1F3763" w:themeColor="accent1" w:themeShade="7F"/>
      <w:lang w:val="sk-SK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12F3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sk-SK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12F3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9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5CB1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B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5CB1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ph" w:customStyle="1">
    <w:name w:val="paragraph"/>
    <w:basedOn w:val="Normal"/>
    <w:rsid w:val="009C1191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DefaultParagraphFont"/>
    <w:rsid w:val="009C1191"/>
  </w:style>
  <w:style w:type="paragraph" w:styleId="Revision">
    <w:name w:val="Revision"/>
    <w:hidden/>
    <w:uiPriority w:val="99"/>
    <w:semiHidden/>
    <w:rsid w:val="00956AFE"/>
    <w:pPr>
      <w:spacing w:after="0"/>
      <w:ind w:left="0" w:firstLine="0"/>
    </w:pPr>
    <w:rPr>
      <w:lang w:val="sk-SK"/>
    </w:rPr>
  </w:style>
  <w:style w:type="character" w:styleId="eop" w:customStyle="1">
    <w:name w:val="eop"/>
    <w:basedOn w:val="DefaultParagraphFont"/>
    <w:rsid w:val="00D65345"/>
  </w:style>
  <w:style w:type="paragraph" w:styleId="ListParagraph">
    <w:name w:val="List Paragraph"/>
    <w:basedOn w:val="Normal"/>
    <w:uiPriority w:val="34"/>
    <w:qFormat/>
    <w:rsid w:val="006664FE"/>
    <w:pPr>
      <w:ind w:left="720"/>
      <w:contextualSpacing/>
    </w:pPr>
  </w:style>
  <w:style w:type="paragraph" w:styleId="NoSpacing">
    <w:name w:val="No Spacing"/>
    <w:uiPriority w:val="1"/>
    <w:qFormat/>
    <w:rsid w:val="001723B1"/>
    <w:pPr>
      <w:spacing w:after="0"/>
      <w:ind w:left="0" w:firstLine="0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D86C-01C1-463E-9BF9-6E955014F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F81FD-436E-4D13-8161-5A39F89C8905}">
  <ds:schemaRefs>
    <ds:schemaRef ds:uri="http://purl.org/dc/elements/1.1/"/>
    <ds:schemaRef ds:uri="1b9f6857-c0de-4c8c-9943-42dab1d6901a"/>
    <ds:schemaRef ds:uri="http://www.w3.org/XML/1998/namespace"/>
    <ds:schemaRef ds:uri="http://schemas.microsoft.com/office/2006/documentManagement/types"/>
    <ds:schemaRef ds:uri="7a3427f1-4188-4ffc-b15e-218ce01db3c1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260BC7-B85D-4325-B51E-8582C6DE62DD}"/>
</file>

<file path=customXml/itemProps4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Haniačik</dc:creator>
  <cp:keywords/>
  <dc:description/>
  <cp:lastModifiedBy>Martina Ledňová</cp:lastModifiedBy>
  <cp:revision>178</cp:revision>
  <dcterms:created xsi:type="dcterms:W3CDTF">2022-02-25T22:54:00Z</dcterms:created>
  <dcterms:modified xsi:type="dcterms:W3CDTF">2022-04-21T13:20:00Z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509300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