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5970" w:rsidR="000E7C1B" w:rsidP="00712F3A" w:rsidRDefault="00E42626" w14:paraId="330AE9BF" w14:textId="5629E039">
      <w:pPr>
        <w:pStyle w:val="Nadpis1"/>
      </w:pPr>
      <w:r>
        <w:t>M21</w:t>
      </w:r>
      <w:r w:rsidR="00681BCD">
        <w:t>.</w:t>
      </w:r>
      <w:r w:rsidR="002628FE">
        <w:t>301</w:t>
      </w:r>
      <w:r w:rsidR="00681BCD">
        <w:t xml:space="preserve"> – </w:t>
      </w:r>
      <w:r w:rsidR="002628FE">
        <w:t xml:space="preserve">Delimitácia BP </w:t>
      </w:r>
    </w:p>
    <w:p w:rsidRPr="003E5970" w:rsidR="00681BCD" w:rsidP="008C0FB0" w:rsidRDefault="00733B99" w14:paraId="0B7BFD1E" w14:textId="6046BE57">
      <w:pPr>
        <w:keepNext/>
        <w:rPr>
          <w:noProof/>
          <w:highlight w:val="yellow"/>
        </w:rPr>
      </w:pPr>
      <w:r>
        <w:rPr>
          <w:noProof/>
          <w:highlight w:val="yellow"/>
        </w:rPr>
        <w:drawing>
          <wp:inline distT="0" distB="0" distL="0" distR="0" wp14:anchorId="0A72C1FB" wp14:editId="2C7359BF">
            <wp:extent cx="8220710" cy="3666490"/>
            <wp:effectExtent l="0" t="0" r="889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0710" cy="3666490"/>
                    </a:xfrm>
                    <a:prstGeom prst="rect">
                      <a:avLst/>
                    </a:prstGeom>
                    <a:noFill/>
                    <a:ln>
                      <a:noFill/>
                    </a:ln>
                  </pic:spPr>
                </pic:pic>
              </a:graphicData>
            </a:graphic>
          </wp:inline>
        </w:drawing>
      </w:r>
    </w:p>
    <w:p w:rsidR="008C0FB0" w:rsidP="00733B99" w:rsidRDefault="008C0FB0" w14:paraId="26251632" w14:textId="4E2935FD">
      <w:pPr>
        <w:pStyle w:val="Popis"/>
      </w:pPr>
      <w:r>
        <w:t xml:space="preserve">Obrázok </w:t>
      </w:r>
      <w:r>
        <w:fldChar w:fldCharType="begin"/>
      </w:r>
      <w:r>
        <w:instrText xml:space="preserve"> SEQ Obrázok \* ARABIC </w:instrText>
      </w:r>
      <w:r>
        <w:fldChar w:fldCharType="separate"/>
      </w:r>
      <w:r w:rsidRPr="2C1E4529" w:rsidR="00150005">
        <w:rPr>
          <w:noProof/>
        </w:rPr>
        <w:t>1</w:t>
      </w:r>
      <w:r>
        <w:fldChar w:fldCharType="end"/>
      </w:r>
      <w:r>
        <w:t xml:space="preserve"> – Procesný model</w:t>
      </w:r>
      <w:r w:rsidR="002628FE">
        <w:t xml:space="preserve"> (Základný proces)</w:t>
      </w:r>
      <w:r w:rsidR="002628FE">
        <w:t xml:space="preserve"> M21.301.Delimitácia BP</w:t>
      </w:r>
    </w:p>
    <w:p w:rsidR="002628FE" w:rsidP="002628FE" w:rsidRDefault="00296F17" w14:paraId="256F0AA6" w14:textId="75B18C84">
      <w:pPr>
        <w:keepNext/>
      </w:pPr>
      <w:r>
        <w:rPr>
          <w:noProof/>
        </w:rPr>
        <w:lastRenderedPageBreak/>
        <w:drawing>
          <wp:inline distT="0" distB="0" distL="0" distR="0" wp14:anchorId="50581CA3" wp14:editId="6804B530">
            <wp:extent cx="7030528" cy="5398234"/>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9885" cy="5405418"/>
                    </a:xfrm>
                    <a:prstGeom prst="rect">
                      <a:avLst/>
                    </a:prstGeom>
                    <a:noFill/>
                    <a:ln>
                      <a:noFill/>
                    </a:ln>
                  </pic:spPr>
                </pic:pic>
              </a:graphicData>
            </a:graphic>
          </wp:inline>
        </w:drawing>
      </w:r>
    </w:p>
    <w:p w:rsidR="00A85C40" w:rsidP="2C1E4529" w:rsidRDefault="002628FE" w14:paraId="42B8D53F" w14:textId="1F8BCFCA">
      <w:pPr>
        <w:pStyle w:val="Popis"/>
        <w:rPr>
          <w:rFonts w:ascii="Calibri" w:hAnsi="Calibri" w:eastAsiaTheme="majorEastAsia" w:cstheme="majorBidi"/>
          <w:b/>
          <w:bCs/>
        </w:rPr>
      </w:pPr>
      <w:r>
        <w:t xml:space="preserve">Obrázok </w:t>
      </w:r>
      <w:r>
        <w:fldChar w:fldCharType="begin"/>
      </w:r>
      <w:r>
        <w:instrText xml:space="preserve"> SEQ Obrázok \* ARABIC </w:instrText>
      </w:r>
      <w:r>
        <w:fldChar w:fldCharType="separate"/>
      </w:r>
      <w:r w:rsidRPr="2C1E4529" w:rsidR="00150005">
        <w:rPr>
          <w:noProof/>
        </w:rPr>
        <w:t>2</w:t>
      </w:r>
      <w:r>
        <w:fldChar w:fldCharType="end"/>
      </w:r>
      <w:r>
        <w:t xml:space="preserve"> - Subproces </w:t>
      </w:r>
      <w:r>
        <w:t xml:space="preserve"> M21.301.S.00001</w:t>
      </w:r>
      <w:r>
        <w:t>- Aktualizácia doklad</w:t>
      </w:r>
      <w:r>
        <w:t>u</w:t>
      </w:r>
      <w:r>
        <w:t xml:space="preserve"> plnenia</w:t>
      </w:r>
      <w:r>
        <w:br w:type="page"/>
      </w:r>
    </w:p>
    <w:p w:rsidRPr="003E5970" w:rsidR="00F94FD3" w:rsidP="00BC6B09" w:rsidRDefault="00F94FD3" w14:paraId="4EEF77F3" w14:textId="31A5DA6A">
      <w:pPr>
        <w:pStyle w:val="Nadpis2"/>
      </w:pPr>
      <w:r w:rsidRPr="003E5970">
        <w:lastRenderedPageBreak/>
        <w:t xml:space="preserve">Popis procesu </w:t>
      </w:r>
    </w:p>
    <w:p w:rsidR="004B532B" w:rsidP="001C5BAC" w:rsidRDefault="00FA5709" w14:paraId="431CFD19" w14:textId="049A6F68">
      <w:pPr>
        <w:spacing w:after="0"/>
      </w:pPr>
      <w:r>
        <w:t xml:space="preserve">Počas „života“ zmluvy môže dôjsť k situácii, kedy sa zmení partner zmluvy. Zmena partnera znamená, že sa mení partner uvedený na zmluve (teda dodávateľ alebo odberateľ) a nie organizácia, ktorá je vlastníkom zmluvy. </w:t>
      </w:r>
      <w:r w:rsidR="00184A8F">
        <w:t xml:space="preserve">K tejto situácii môže dôjsť pokiaľ partner, s ktorým je zmluva uzatvorená zanikne a jeho práva a povinnosti prevezme iný obchodný partner, alebo dôjde k zlúčeniu </w:t>
      </w:r>
      <w:r w:rsidR="00A07F6A">
        <w:t xml:space="preserve">firiem. </w:t>
      </w:r>
    </w:p>
    <w:p w:rsidR="00A07F6A" w:rsidP="001C5BAC" w:rsidRDefault="00A07F6A" w14:paraId="563ED2EC" w14:textId="33B0A360">
      <w:pPr>
        <w:spacing w:after="0"/>
      </w:pPr>
      <w:r>
        <w:t xml:space="preserve">Prvým krokom je výber zmluvy, u ktorej sa má vykonať zmena obchodného partnera. Následne užívateľ vyberie nového partnera na zmluve a prípadne označí partnera zmluvy, ktorý sa má zmeniť (ak je zmluva uzatvorená s viacerými partnermi). Po zadaní dát a spustení delimitácie je vykonaná kontrola zmluvy a zadania údajov: </w:t>
      </w:r>
    </w:p>
    <w:p w:rsidR="00A07F6A" w:rsidP="00A07F6A" w:rsidRDefault="00A07F6A" w14:paraId="6FC9AF07" w14:textId="17256CEB">
      <w:pPr>
        <w:pStyle w:val="Odsekzoznamu"/>
        <w:numPr>
          <w:ilvl w:val="0"/>
          <w:numId w:val="20"/>
        </w:numPr>
        <w:spacing w:after="0"/>
      </w:pPr>
      <w:r>
        <w:t>Zmluva musí byť aktívna (nie ukončená).</w:t>
      </w:r>
    </w:p>
    <w:p w:rsidR="00A07F6A" w:rsidP="00A07F6A" w:rsidRDefault="00A07F6A" w14:paraId="4176A57A" w14:textId="0F001FC7">
      <w:pPr>
        <w:pStyle w:val="Odsekzoznamu"/>
        <w:numPr>
          <w:ilvl w:val="0"/>
          <w:numId w:val="20"/>
        </w:numPr>
        <w:spacing w:after="0"/>
      </w:pPr>
      <w:r>
        <w:t>Kontrola zadaného partnera (či partner existuje, či je správne založený, ...).</w:t>
      </w:r>
    </w:p>
    <w:p w:rsidR="00A07F6A" w:rsidP="00A07F6A" w:rsidRDefault="00A07F6A" w14:paraId="0F3A7A22" w14:textId="71C139DC">
      <w:pPr>
        <w:spacing w:after="0"/>
      </w:pPr>
      <w:r>
        <w:t>Pokiaľ kontroly neboli úspešné, užívateľovi sa zobrazia vo forme hlásenia prípadné chyby a spracovanie sa končí bez zmeny obchodného partnera.</w:t>
      </w:r>
    </w:p>
    <w:p w:rsidR="00A07F6A" w:rsidP="00A07F6A" w:rsidRDefault="00A07F6A" w14:paraId="1CD5A542" w14:textId="1A78755D">
      <w:pPr>
        <w:spacing w:after="0"/>
      </w:pPr>
      <w:r>
        <w:t xml:space="preserve">Pokiaľ boli kontroly úspešné, pokračuje </w:t>
      </w:r>
      <w:r w:rsidR="00C15498">
        <w:t xml:space="preserve">systém uložením zmluvy. Následné kroky závisia od toho, o akú zmluvu sa jedná: </w:t>
      </w:r>
    </w:p>
    <w:p w:rsidR="00C15498" w:rsidP="00C15498" w:rsidRDefault="00C15498" w14:paraId="6FFCD7C6" w14:textId="6990675A">
      <w:pPr>
        <w:pStyle w:val="Odsekzoznamu"/>
        <w:numPr>
          <w:ilvl w:val="0"/>
          <w:numId w:val="20"/>
        </w:numPr>
        <w:spacing w:after="0"/>
      </w:pPr>
      <w:r>
        <w:t>Pokiaľ sa jedná o zmluvu bez plnenia, potom sa nevykonávajú žiadne ďalšie procesné kroky a delimitácia je ukončená.</w:t>
      </w:r>
    </w:p>
    <w:p w:rsidR="00C15498" w:rsidP="00C15498" w:rsidRDefault="00C15498" w14:paraId="3F97EE7A" w14:textId="1A3B424F">
      <w:pPr>
        <w:pStyle w:val="Odsekzoznamu"/>
        <w:numPr>
          <w:ilvl w:val="0"/>
          <w:numId w:val="20"/>
        </w:numPr>
        <w:spacing w:after="0"/>
      </w:pPr>
      <w:r>
        <w:t xml:space="preserve">Pokiaľ sa jedná o zmluvu s plnením, pokračuje sa nasledovnými procesnými krokmi: </w:t>
      </w:r>
    </w:p>
    <w:p w:rsidR="004B532B" w:rsidP="001C5BAC" w:rsidRDefault="00C15498" w14:paraId="446F7418" w14:textId="115A829D">
      <w:pPr>
        <w:pStyle w:val="Odsekzoznamu"/>
        <w:numPr>
          <w:ilvl w:val="1"/>
          <w:numId w:val="20"/>
        </w:numPr>
        <w:spacing w:after="0"/>
      </w:pPr>
      <w:r>
        <w:t>Zmena alokácie prostriedkov – vykoná sa automatická aktualizácia dokladu rozpočtu pripojeného k zmluve. Zmena je automatická, lebo sa nevykonáva žiadna zmena v rozpočte zmluvy, len sa zmení číslo dodávateľa a/alebo odberateľa v rozpočtovom doklade.</w:t>
      </w:r>
    </w:p>
    <w:p w:rsidR="00C15498" w:rsidP="001C5BAC" w:rsidRDefault="00C15498" w14:paraId="15EC1CBA" w14:textId="48634665">
      <w:pPr>
        <w:pStyle w:val="Odsekzoznamu"/>
        <w:numPr>
          <w:ilvl w:val="1"/>
          <w:numId w:val="20"/>
        </w:numPr>
        <w:spacing w:after="0"/>
      </w:pPr>
      <w:r>
        <w:t xml:space="preserve">Pokiaľ je zmluva plnená v module MM/SD, spustí sa </w:t>
      </w:r>
      <w:r>
        <w:t>sub</w:t>
      </w:r>
      <w:r w:rsidR="00502240">
        <w:t>proces na aktualizáciu doklad</w:t>
      </w:r>
      <w:r w:rsidR="00502240">
        <w:t>u</w:t>
      </w:r>
      <w:r w:rsidR="00502240">
        <w:t xml:space="preserve"> plnenia (M21.301.S.00001).</w:t>
      </w:r>
    </w:p>
    <w:p w:rsidR="00502240" w:rsidP="00502240" w:rsidRDefault="00502240" w14:paraId="7820523B" w14:textId="239070C0">
      <w:pPr>
        <w:spacing w:after="0"/>
      </w:pPr>
      <w:r>
        <w:t>Výsledkom spracovania dokladov plnenia a rozpočtových dokladov je zoznam hlásení. Pokiaľ boli doklady plnenia FM spracované správne, je delimitácia partnera ukončená a partner v zmluve je zmenený. Pokiaľ nastali chyby pri aktualizácii dokladov plnenia, užívateľovi sú zobrazené chybové hlásenia a spracovanie končí s chybou – partner v zmluve nebol zmenený.</w:t>
      </w:r>
    </w:p>
    <w:p w:rsidR="00721495" w:rsidP="00502240" w:rsidRDefault="00721495" w14:paraId="7E3492CC" w14:textId="41F09199">
      <w:pPr>
        <w:spacing w:after="0"/>
      </w:pPr>
    </w:p>
    <w:p w:rsidR="00721495" w:rsidP="00502240" w:rsidRDefault="00721495" w14:paraId="450E6D3A" w14:textId="16C2DB13">
      <w:pPr>
        <w:spacing w:after="0"/>
        <w:rPr>
          <w:b/>
          <w:bCs/>
        </w:rPr>
      </w:pPr>
      <w:r>
        <w:rPr>
          <w:b/>
          <w:bCs/>
        </w:rPr>
        <w:t>Subproces M21.301.S.00001. Aktualizácia dokladu plnenia</w:t>
      </w:r>
    </w:p>
    <w:p w:rsidR="00721495" w:rsidP="00721495" w:rsidRDefault="00721495" w14:paraId="39999BD4" w14:textId="62342FFD">
      <w:pPr>
        <w:spacing w:after="0"/>
      </w:pPr>
      <w:r w:rsidRPr="00721495">
        <w:t xml:space="preserve">V prípade, že </w:t>
      </w:r>
      <w:r>
        <w:t>zmluva má plnenie v module MM/SD, je potrebné vykonať aj aktualizáciu dokladov plnenia k zmluve. Doklady plnenia (Kontrakt MM, Objednávka MM, Kontrakt SD, SD zákazka) totiž na úrovni hlavičky obsahujú informáciu o Dodávateľovi/Odberateľovi a účtovnom okruhu. Tieto údaje sú pritom v daných dokladoch nemenné a preto je potrebné vykonať tento subproces.</w:t>
      </w:r>
    </w:p>
    <w:p w:rsidRPr="00721495" w:rsidR="00721495" w:rsidP="00721495" w:rsidRDefault="00721495" w14:paraId="0721EE0E" w14:textId="77424A57">
      <w:pPr>
        <w:spacing w:after="0"/>
      </w:pPr>
      <w:r>
        <w:t>Prvým krokom je ukončenie pôvodných dokladov plnenia. Pokiaľ boli doklady plnenia správne ukončen</w:t>
      </w:r>
      <w:r w:rsidR="001B77A2">
        <w:t xml:space="preserve">é, nasleduje vytvorenie nových dokladov plnenia na nových Dodávateľov, Odberateľov. </w:t>
      </w:r>
    </w:p>
    <w:p w:rsidRPr="003E5970" w:rsidR="00F94FD3" w:rsidP="003F658C" w:rsidRDefault="00F94FD3" w14:paraId="31C767D6" w14:textId="4A269002">
      <w:pPr>
        <w:spacing w:after="120"/>
      </w:pPr>
      <w:r w:rsidRPr="003E5970">
        <w:t xml:space="preserve"> </w:t>
      </w:r>
    </w:p>
    <w:p w:rsidRPr="003E5970" w:rsidR="00F94FD3" w:rsidP="003F658C" w:rsidRDefault="00F94FD3" w14:paraId="0081E645" w14:textId="5CB2E046">
      <w:pPr>
        <w:spacing w:after="120"/>
        <w:sectPr w:rsidRPr="003E5970" w:rsidR="00F94FD3" w:rsidSect="008355BB">
          <w:pgSz w:w="15840" w:h="12240" w:orient="landscape"/>
          <w:pgMar w:top="1440" w:right="1440" w:bottom="1440" w:left="1440" w:header="720" w:footer="720" w:gutter="0"/>
          <w:cols w:space="720"/>
          <w:docGrid w:linePitch="360"/>
        </w:sectPr>
      </w:pPr>
    </w:p>
    <w:p w:rsidRPr="003E5970" w:rsidR="008355BB" w:rsidP="00712F3A" w:rsidRDefault="008355BB" w14:paraId="77403D6F" w14:textId="424FC928">
      <w:pPr>
        <w:pStyle w:val="Nadpis1"/>
      </w:pPr>
      <w:r w:rsidRPr="003E5970">
        <w:lastRenderedPageBreak/>
        <w:t>Roly a</w:t>
      </w:r>
      <w:r w:rsidRPr="003E5970" w:rsidR="008C0FB0">
        <w:t> </w:t>
      </w:r>
      <w:r w:rsidRPr="003E5970">
        <w:t>aktivity</w:t>
      </w:r>
    </w:p>
    <w:p w:rsidRPr="003E5970" w:rsidR="008C0FB0" w:rsidP="008113CA" w:rsidRDefault="008113CA" w14:paraId="5B85195F" w14:textId="69FC14C7">
      <w:pPr>
        <w:pStyle w:val="Nadpis2"/>
      </w:pPr>
      <w:r w:rsidRPr="003E5970">
        <w:t>Tabuľka rolí a</w:t>
      </w:r>
      <w:r w:rsidRPr="003E5970" w:rsidR="004B532B">
        <w:t> </w:t>
      </w:r>
      <w:r w:rsidRPr="003E5970">
        <w:t>aktivít</w:t>
      </w:r>
    </w:p>
    <w:tbl>
      <w:tblPr>
        <w:tblW w:w="8185" w:type="dxa"/>
        <w:tblLayout w:type="fixed"/>
        <w:tblLook w:val="04A0" w:firstRow="1" w:lastRow="0" w:firstColumn="1" w:lastColumn="0" w:noHBand="0" w:noVBand="1"/>
      </w:tblPr>
      <w:tblGrid>
        <w:gridCol w:w="2561"/>
        <w:gridCol w:w="2063"/>
        <w:gridCol w:w="3561"/>
      </w:tblGrid>
      <w:tr w:rsidRPr="003E5970" w:rsidR="007B3931" w:rsidTr="68A0F7A6" w14:paraId="56ECC584" w14:textId="77777777">
        <w:trPr>
          <w:trHeight w:val="295"/>
        </w:trPr>
        <w:tc>
          <w:tcPr>
            <w:tcW w:w="2561" w:type="dxa"/>
            <w:tcBorders>
              <w:top w:val="single" w:color="auto" w:sz="4" w:space="0"/>
              <w:left w:val="single" w:color="auto" w:sz="4" w:space="0"/>
              <w:bottom w:val="nil"/>
              <w:right w:val="nil"/>
            </w:tcBorders>
            <w:shd w:val="clear" w:color="auto" w:fill="auto"/>
            <w:noWrap/>
            <w:tcMar/>
            <w:vAlign w:val="bottom"/>
            <w:hideMark/>
          </w:tcPr>
          <w:p w:rsidRPr="003E5970" w:rsidR="007B3931" w:rsidP="00014106" w:rsidRDefault="007B3931" w14:paraId="0C8118ED"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single" w:color="auto" w:sz="4" w:space="0"/>
              <w:left w:val="nil"/>
              <w:bottom w:val="nil"/>
              <w:right w:val="nil"/>
            </w:tcBorders>
            <w:shd w:val="clear" w:color="auto" w:fill="auto"/>
            <w:noWrap/>
            <w:tcMar/>
            <w:vAlign w:val="bottom"/>
            <w:hideMark/>
          </w:tcPr>
          <w:p w:rsidRPr="003E5970" w:rsidR="007B3931" w:rsidP="00014106" w:rsidRDefault="007B3931" w14:paraId="4FA5FDCF"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Proces</w:t>
            </w:r>
          </w:p>
        </w:tc>
        <w:tc>
          <w:tcPr>
            <w:tcW w:w="3561" w:type="dxa"/>
            <w:tcBorders>
              <w:top w:val="single" w:color="auto" w:sz="4" w:space="0"/>
              <w:left w:val="nil"/>
              <w:bottom w:val="nil"/>
              <w:right w:val="single" w:color="auto" w:sz="4" w:space="0"/>
            </w:tcBorders>
            <w:shd w:val="clear" w:color="auto" w:fill="auto"/>
            <w:noWrap/>
            <w:tcMar/>
            <w:vAlign w:val="bottom"/>
            <w:hideMark/>
          </w:tcPr>
          <w:p w:rsidRPr="003E5970" w:rsidR="007B3931" w:rsidP="00014106" w:rsidRDefault="00E42626" w14:paraId="2E06D381" w14:textId="6CEE0D9B">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M21</w:t>
            </w:r>
            <w:r w:rsidRPr="003E5970" w:rsidR="007B3931">
              <w:rPr>
                <w:rFonts w:ascii="Calibri" w:hAnsi="Calibri" w:eastAsia="Times New Roman" w:cs="Calibri"/>
                <w:color w:val="000000"/>
                <w:sz w:val="20"/>
                <w:szCs w:val="20"/>
              </w:rPr>
              <w:t>.</w:t>
            </w:r>
            <w:r w:rsidR="00CA334E">
              <w:rPr>
                <w:rFonts w:ascii="Calibri" w:hAnsi="Calibri" w:eastAsia="Times New Roman" w:cs="Calibri"/>
                <w:color w:val="000000"/>
                <w:sz w:val="20"/>
                <w:szCs w:val="20"/>
              </w:rPr>
              <w:t>301</w:t>
            </w:r>
          </w:p>
        </w:tc>
      </w:tr>
      <w:tr w:rsidRPr="003E5970" w:rsidR="007B3931" w:rsidTr="68A0F7A6" w14:paraId="3A747AF3" w14:textId="77777777">
        <w:trPr>
          <w:trHeight w:val="295"/>
        </w:trPr>
        <w:tc>
          <w:tcPr>
            <w:tcW w:w="2561" w:type="dxa"/>
            <w:tcBorders>
              <w:top w:val="nil"/>
              <w:left w:val="single" w:color="auto" w:sz="4" w:space="0"/>
              <w:bottom w:val="single" w:color="auto" w:sz="4" w:space="0"/>
              <w:right w:val="nil"/>
            </w:tcBorders>
            <w:shd w:val="clear" w:color="auto" w:fill="auto"/>
            <w:noWrap/>
            <w:tcMar/>
            <w:vAlign w:val="bottom"/>
            <w:hideMark/>
          </w:tcPr>
          <w:p w:rsidRPr="003E5970" w:rsidR="007B3931" w:rsidP="00014106" w:rsidRDefault="007B3931" w14:paraId="546247FF"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nil"/>
              <w:left w:val="nil"/>
              <w:bottom w:val="single" w:color="auto" w:sz="4" w:space="0"/>
              <w:right w:val="nil"/>
            </w:tcBorders>
            <w:shd w:val="clear" w:color="auto" w:fill="auto"/>
            <w:noWrap/>
            <w:tcMar/>
            <w:vAlign w:val="bottom"/>
            <w:hideMark/>
          </w:tcPr>
          <w:p w:rsidRPr="003E5970" w:rsidR="007B3931" w:rsidP="00014106" w:rsidRDefault="007B3931" w14:paraId="5970E2D1" w14:textId="77777777">
            <w:pPr>
              <w:spacing w:after="0"/>
              <w:rPr>
                <w:rFonts w:ascii="Calibri" w:hAnsi="Calibri" w:eastAsia="Times New Roman" w:cs="Calibri"/>
                <w:color w:val="000000"/>
                <w:sz w:val="20"/>
                <w:szCs w:val="20"/>
              </w:rPr>
            </w:pPr>
            <w:proofErr w:type="spellStart"/>
            <w:r w:rsidRPr="003E5970">
              <w:rPr>
                <w:rFonts w:ascii="Calibri" w:hAnsi="Calibri" w:eastAsia="Times New Roman" w:cs="Calibri"/>
                <w:color w:val="000000"/>
                <w:sz w:val="20"/>
                <w:szCs w:val="20"/>
              </w:rPr>
              <w:t>Org</w:t>
            </w:r>
            <w:proofErr w:type="spellEnd"/>
            <w:r w:rsidRPr="003E5970">
              <w:rPr>
                <w:rFonts w:ascii="Calibri" w:hAnsi="Calibri" w:eastAsia="Times New Roman" w:cs="Calibri"/>
                <w:color w:val="000000"/>
                <w:sz w:val="20"/>
                <w:szCs w:val="20"/>
              </w:rPr>
              <w:t>./Odd.</w:t>
            </w:r>
          </w:p>
        </w:tc>
        <w:tc>
          <w:tcPr>
            <w:tcW w:w="3561" w:type="dxa"/>
            <w:tcBorders>
              <w:top w:val="nil"/>
              <w:left w:val="nil"/>
              <w:bottom w:val="single" w:color="auto" w:sz="4" w:space="0"/>
              <w:right w:val="single" w:color="auto" w:sz="4" w:space="0"/>
            </w:tcBorders>
            <w:shd w:val="clear" w:color="auto" w:fill="auto"/>
            <w:noWrap/>
            <w:tcMar/>
            <w:vAlign w:val="bottom"/>
            <w:hideMark/>
          </w:tcPr>
          <w:p w:rsidRPr="003E5970" w:rsidR="007B3931" w:rsidP="2C1E4529" w:rsidRDefault="2A9E173D" w14:paraId="5ABA5C51" w14:textId="1B0F9117">
            <w:pPr>
              <w:spacing w:after="0" w:line="259" w:lineRule="auto"/>
              <w:rPr>
                <w:rFonts w:ascii="Calibri" w:hAnsi="Calibri" w:eastAsia="Times New Roman" w:cs="Calibri"/>
                <w:color w:val="000000" w:themeColor="text1"/>
                <w:sz w:val="20"/>
                <w:szCs w:val="20"/>
              </w:rPr>
            </w:pPr>
            <w:r w:rsidRPr="14E96D4E">
              <w:rPr>
                <w:rFonts w:ascii="Calibri" w:hAnsi="Calibri" w:eastAsia="Times New Roman" w:cs="Calibri"/>
                <w:color w:val="000000" w:themeColor="text1"/>
                <w:sz w:val="20"/>
                <w:szCs w:val="20"/>
              </w:rPr>
              <w:t>Gestor</w:t>
            </w:r>
          </w:p>
        </w:tc>
      </w:tr>
      <w:tr w:rsidRPr="003E5970" w:rsidR="007B3931" w:rsidTr="68A0F7A6" w14:paraId="767F264B" w14:textId="77777777">
        <w:trPr>
          <w:trHeight w:val="295"/>
        </w:trPr>
        <w:tc>
          <w:tcPr>
            <w:tcW w:w="2561" w:type="dxa"/>
            <w:tcBorders>
              <w:top w:val="single" w:color="auto" w:sz="4" w:space="0"/>
              <w:left w:val="single" w:color="auto" w:sz="4" w:space="0"/>
              <w:bottom w:val="nil"/>
              <w:right w:val="nil"/>
            </w:tcBorders>
            <w:shd w:val="clear" w:color="auto" w:fill="EDEDED" w:themeFill="accent3" w:themeFillTint="33"/>
            <w:noWrap/>
            <w:tcMar/>
            <w:vAlign w:val="center"/>
            <w:hideMark/>
          </w:tcPr>
          <w:p w:rsidRPr="003E5970" w:rsidR="007B3931" w:rsidP="00014106" w:rsidRDefault="007B3931" w14:paraId="219D88DB" w14:textId="77777777">
            <w:pPr>
              <w:spacing w:after="0"/>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Rola</w:t>
            </w:r>
          </w:p>
        </w:tc>
        <w:tc>
          <w:tcPr>
            <w:tcW w:w="2063" w:type="dxa"/>
            <w:tcBorders>
              <w:top w:val="single" w:color="auto" w:sz="4" w:space="0"/>
              <w:left w:val="nil"/>
              <w:bottom w:val="nil"/>
              <w:right w:val="nil"/>
            </w:tcBorders>
            <w:shd w:val="clear" w:color="auto" w:fill="EDEDED" w:themeFill="accent3" w:themeFillTint="33"/>
            <w:noWrap/>
            <w:tcMar/>
            <w:vAlign w:val="bottom"/>
            <w:hideMark/>
          </w:tcPr>
          <w:p w:rsidRPr="003E5970" w:rsidR="007B3931" w:rsidP="00014106" w:rsidRDefault="007B3931" w14:paraId="33980576" w14:textId="14F667BC">
            <w:pPr>
              <w:spacing w:after="0"/>
              <w:rPr>
                <w:rFonts w:ascii="Calibri" w:hAnsi="Calibri" w:eastAsia="Times New Roman" w:cs="Calibri"/>
                <w:b/>
                <w:bCs/>
                <w:color w:val="000000"/>
                <w:sz w:val="20"/>
                <w:szCs w:val="20"/>
              </w:rPr>
            </w:pPr>
          </w:p>
        </w:tc>
        <w:tc>
          <w:tcPr>
            <w:tcW w:w="3561" w:type="dxa"/>
            <w:tcBorders>
              <w:top w:val="single" w:color="auto" w:sz="4" w:space="0"/>
              <w:left w:val="nil"/>
              <w:bottom w:val="nil"/>
              <w:right w:val="single" w:color="auto" w:sz="4" w:space="0"/>
            </w:tcBorders>
            <w:shd w:val="clear" w:color="auto" w:fill="EDEDED" w:themeFill="accent3" w:themeFillTint="33"/>
            <w:noWrap/>
            <w:tcMar/>
            <w:vAlign w:val="bottom"/>
            <w:hideMark/>
          </w:tcPr>
          <w:p w:rsidRPr="003E5970" w:rsidR="007B3931" w:rsidP="00014106" w:rsidRDefault="77607135" w14:paraId="6A1659C7" w14:textId="56A12774">
            <w:pPr>
              <w:spacing w:after="0"/>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Gestor</w:t>
            </w:r>
            <w:r w:rsidRPr="2C1E4529">
              <w:rPr>
                <w:rFonts w:ascii="Calibri" w:hAnsi="Calibri" w:eastAsia="Times New Roman" w:cs="Calibri"/>
                <w:b/>
                <w:bCs/>
                <w:color w:val="000000" w:themeColor="text1"/>
                <w:sz w:val="20"/>
                <w:szCs w:val="20"/>
              </w:rPr>
              <w:t xml:space="preserve"> zmluvy</w:t>
            </w:r>
          </w:p>
        </w:tc>
      </w:tr>
      <w:tr w:rsidRPr="003E5970" w:rsidR="007B3931" w:rsidTr="68A0F7A6" w14:paraId="10E70443" w14:textId="77777777">
        <w:trPr>
          <w:trHeight w:val="295"/>
        </w:trPr>
        <w:tc>
          <w:tcPr>
            <w:tcW w:w="2561" w:type="dxa"/>
            <w:tcBorders>
              <w:top w:val="nil"/>
              <w:left w:val="single" w:color="auto" w:sz="4" w:space="0"/>
              <w:bottom w:val="nil"/>
              <w:right w:val="nil"/>
            </w:tcBorders>
            <w:shd w:val="clear" w:color="auto" w:fill="auto"/>
            <w:noWrap/>
            <w:tcMar/>
            <w:vAlign w:val="bottom"/>
            <w:hideMark/>
          </w:tcPr>
          <w:p w:rsidRPr="003E5970" w:rsidR="007B3931" w:rsidP="00014106" w:rsidRDefault="007B3931" w14:paraId="06ED06E2"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Aktivita</w:t>
            </w:r>
          </w:p>
        </w:tc>
        <w:tc>
          <w:tcPr>
            <w:tcW w:w="2063" w:type="dxa"/>
            <w:tcBorders>
              <w:top w:val="nil"/>
              <w:left w:val="nil"/>
              <w:bottom w:val="nil"/>
              <w:right w:val="nil"/>
            </w:tcBorders>
            <w:shd w:val="clear" w:color="auto" w:fill="auto"/>
            <w:noWrap/>
            <w:tcMar/>
            <w:vAlign w:val="bottom"/>
            <w:hideMark/>
          </w:tcPr>
          <w:p w:rsidRPr="003E5970" w:rsidR="007B3931" w:rsidP="00014106" w:rsidRDefault="00E42626" w14:paraId="4E2DB47D" w14:textId="1E36DC54">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w:t>
            </w:r>
            <w:r w:rsidRPr="2C1E4529" w:rsidR="1ABF3DCD">
              <w:rPr>
                <w:rFonts w:ascii="Calibri" w:hAnsi="Calibri" w:eastAsia="Times New Roman" w:cs="Calibri"/>
                <w:color w:val="000000" w:themeColor="text1"/>
                <w:sz w:val="20"/>
                <w:szCs w:val="20"/>
              </w:rPr>
              <w:t>.</w:t>
            </w:r>
            <w:r w:rsidRPr="2C1E4529" w:rsidR="77607135">
              <w:rPr>
                <w:rFonts w:ascii="Calibri" w:hAnsi="Calibri" w:eastAsia="Times New Roman" w:cs="Calibri"/>
                <w:color w:val="000000" w:themeColor="text1"/>
                <w:sz w:val="20"/>
                <w:szCs w:val="20"/>
              </w:rPr>
              <w:t>301</w:t>
            </w:r>
            <w:r w:rsidRPr="2C1E4529" w:rsidR="1ABF3DCD">
              <w:rPr>
                <w:rFonts w:ascii="Calibri" w:hAnsi="Calibri" w:eastAsia="Times New Roman" w:cs="Calibri"/>
                <w:color w:val="000000" w:themeColor="text1"/>
                <w:sz w:val="20"/>
                <w:szCs w:val="20"/>
              </w:rPr>
              <w:t>.0.00</w:t>
            </w:r>
            <w:r w:rsidRPr="2C1E4529">
              <w:rPr>
                <w:rFonts w:ascii="Calibri" w:hAnsi="Calibri" w:eastAsia="Times New Roman" w:cs="Calibri"/>
                <w:color w:val="000000" w:themeColor="text1"/>
                <w:sz w:val="20"/>
                <w:szCs w:val="20"/>
              </w:rPr>
              <w:t>0</w:t>
            </w:r>
            <w:r w:rsidRPr="2C1E4529" w:rsidR="1ABF3DCD">
              <w:rPr>
                <w:rFonts w:ascii="Calibri" w:hAnsi="Calibri" w:eastAsia="Times New Roman" w:cs="Calibri"/>
                <w:color w:val="000000" w:themeColor="text1"/>
                <w:sz w:val="20"/>
                <w:szCs w:val="20"/>
              </w:rPr>
              <w:t>01</w:t>
            </w:r>
            <w:r w:rsidRPr="2C1E4529" w:rsidR="1ABF3DCD">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hideMark/>
          </w:tcPr>
          <w:p w:rsidRPr="003E5970" w:rsidR="007B3931" w:rsidP="00014106" w:rsidRDefault="00747C56" w14:paraId="4A71F594" w14:textId="66221056">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Výber zmluvy na spracovanie</w:t>
            </w:r>
          </w:p>
        </w:tc>
      </w:tr>
      <w:tr w:rsidRPr="003E5970" w:rsidR="007B3931" w:rsidTr="68A0F7A6" w14:paraId="49D7E6D7" w14:textId="77777777">
        <w:trPr>
          <w:trHeight w:val="295"/>
        </w:trPr>
        <w:tc>
          <w:tcPr>
            <w:tcW w:w="2561" w:type="dxa"/>
            <w:tcBorders>
              <w:top w:val="nil"/>
              <w:left w:val="single" w:color="auto" w:sz="4" w:space="0"/>
              <w:bottom w:val="nil"/>
              <w:right w:val="nil"/>
            </w:tcBorders>
            <w:shd w:val="clear" w:color="auto" w:fill="auto"/>
            <w:noWrap/>
            <w:tcMar/>
            <w:vAlign w:val="bottom"/>
            <w:hideMark/>
          </w:tcPr>
          <w:p w:rsidRPr="003E5970" w:rsidR="007B3931" w:rsidP="00014106" w:rsidRDefault="007B3931" w14:paraId="099B3B7C" w14:textId="77777777">
            <w:pPr>
              <w:spacing w:after="0"/>
              <w:rPr>
                <w:rFonts w:ascii="Calibri" w:hAnsi="Calibri" w:eastAsia="Times New Roman" w:cs="Calibri"/>
                <w:color w:val="000000"/>
                <w:sz w:val="20"/>
                <w:szCs w:val="20"/>
              </w:rPr>
            </w:pPr>
            <w:r w:rsidRPr="003E5970">
              <w:rPr>
                <w:rFonts w:ascii="Calibri" w:hAnsi="Calibri" w:eastAsia="Times New Roman" w:cs="Calibri"/>
                <w:color w:val="000000"/>
                <w:sz w:val="20"/>
                <w:szCs w:val="20"/>
              </w:rPr>
              <w:t> </w:t>
            </w:r>
          </w:p>
        </w:tc>
        <w:tc>
          <w:tcPr>
            <w:tcW w:w="2063" w:type="dxa"/>
            <w:tcBorders>
              <w:top w:val="nil"/>
              <w:left w:val="nil"/>
              <w:bottom w:val="nil"/>
              <w:right w:val="nil"/>
            </w:tcBorders>
            <w:shd w:val="clear" w:color="auto" w:fill="auto"/>
            <w:noWrap/>
            <w:tcMar/>
            <w:vAlign w:val="bottom"/>
            <w:hideMark/>
          </w:tcPr>
          <w:p w:rsidRPr="003E5970" w:rsidR="007B3931" w:rsidP="00014106" w:rsidRDefault="00E42626" w14:paraId="2345BFEB" w14:textId="15D5BEC7">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w:t>
            </w:r>
            <w:r w:rsidRPr="2C1E4529" w:rsidR="1ABF3DCD">
              <w:rPr>
                <w:rFonts w:ascii="Calibri" w:hAnsi="Calibri" w:eastAsia="Times New Roman" w:cs="Calibri"/>
                <w:color w:val="000000" w:themeColor="text1"/>
                <w:sz w:val="20"/>
                <w:szCs w:val="20"/>
              </w:rPr>
              <w:t>.</w:t>
            </w:r>
            <w:r w:rsidRPr="2C1E4529" w:rsidR="77607135">
              <w:rPr>
                <w:rFonts w:ascii="Calibri" w:hAnsi="Calibri" w:eastAsia="Times New Roman" w:cs="Calibri"/>
                <w:color w:val="000000" w:themeColor="text1"/>
                <w:sz w:val="20"/>
                <w:szCs w:val="20"/>
              </w:rPr>
              <w:t>301</w:t>
            </w:r>
            <w:r w:rsidRPr="2C1E4529" w:rsidR="1ABF3DCD">
              <w:rPr>
                <w:rFonts w:ascii="Calibri" w:hAnsi="Calibri" w:eastAsia="Times New Roman" w:cs="Calibri"/>
                <w:color w:val="000000" w:themeColor="text1"/>
                <w:sz w:val="20"/>
                <w:szCs w:val="20"/>
              </w:rPr>
              <w:t>.0.0</w:t>
            </w:r>
            <w:r w:rsidRPr="2C1E4529">
              <w:rPr>
                <w:rFonts w:ascii="Calibri" w:hAnsi="Calibri" w:eastAsia="Times New Roman" w:cs="Calibri"/>
                <w:color w:val="000000" w:themeColor="text1"/>
                <w:sz w:val="20"/>
                <w:szCs w:val="20"/>
              </w:rPr>
              <w:t>0</w:t>
            </w:r>
            <w:r w:rsidRPr="2C1E4529" w:rsidR="1ABF3DCD">
              <w:rPr>
                <w:rFonts w:ascii="Calibri" w:hAnsi="Calibri" w:eastAsia="Times New Roman" w:cs="Calibri"/>
                <w:color w:val="000000" w:themeColor="text1"/>
                <w:sz w:val="20"/>
                <w:szCs w:val="20"/>
              </w:rPr>
              <w:t>002</w:t>
            </w:r>
            <w:r w:rsidRPr="2C1E4529" w:rsidR="1ABF3DCD">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hideMark/>
          </w:tcPr>
          <w:p w:rsidRPr="003E5970" w:rsidR="007B3931" w:rsidP="00014106" w:rsidRDefault="00747C56" w14:paraId="45E052DE" w14:textId="70E52C5C">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Zadanie nového partnera zmluvy</w:t>
            </w:r>
          </w:p>
        </w:tc>
      </w:tr>
      <w:tr w:rsidRPr="003E5970" w:rsidR="00DC0E7E" w:rsidTr="68A0F7A6" w14:paraId="0C59A4DF"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DC0E7E" w:rsidP="00014106" w:rsidRDefault="00DC0E7E" w14:paraId="06F8788D"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DC0E7E" w:rsidP="00014106" w:rsidRDefault="190A1EC7" w14:paraId="05356848" w14:textId="0B4CCC42">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w:t>
            </w:r>
            <w:r w:rsidRPr="2C1E4529" w:rsidR="77607135">
              <w:rPr>
                <w:rFonts w:ascii="Calibri" w:hAnsi="Calibri" w:eastAsia="Times New Roman" w:cs="Calibri"/>
                <w:color w:val="000000" w:themeColor="text1"/>
                <w:sz w:val="20"/>
                <w:szCs w:val="20"/>
              </w:rPr>
              <w:t>301</w:t>
            </w:r>
            <w:r w:rsidRPr="2C1E4529">
              <w:rPr>
                <w:rFonts w:ascii="Calibri" w:hAnsi="Calibri" w:eastAsia="Times New Roman" w:cs="Calibri"/>
                <w:color w:val="000000" w:themeColor="text1"/>
                <w:sz w:val="20"/>
                <w:szCs w:val="20"/>
              </w:rPr>
              <w:t>.0.00003</w:t>
            </w:r>
            <w:r w:rsidRPr="2C1E4529">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tcPr>
          <w:p w:rsidR="00DC0E7E" w:rsidP="00014106" w:rsidRDefault="00747C56" w14:paraId="6CEE4854" w14:textId="108F0970">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Kontrola dát zmluvy</w:t>
            </w:r>
          </w:p>
        </w:tc>
      </w:tr>
      <w:tr w:rsidRPr="003E5970" w:rsidR="00DC0E7E" w:rsidTr="68A0F7A6" w14:paraId="6A00ED27"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DC0E7E" w:rsidP="00014106" w:rsidRDefault="00DC0E7E" w14:paraId="4AD57243"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DC0E7E" w:rsidP="00014106" w:rsidRDefault="190A1EC7" w14:paraId="798D5FEF" w14:textId="03B5A7DC">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w:t>
            </w:r>
            <w:r w:rsidRPr="2C1E4529" w:rsidR="77607135">
              <w:rPr>
                <w:rFonts w:ascii="Calibri" w:hAnsi="Calibri" w:eastAsia="Times New Roman" w:cs="Calibri"/>
                <w:color w:val="000000" w:themeColor="text1"/>
                <w:sz w:val="20"/>
                <w:szCs w:val="20"/>
              </w:rPr>
              <w:t>301</w:t>
            </w:r>
            <w:r w:rsidRPr="2C1E4529">
              <w:rPr>
                <w:rFonts w:ascii="Calibri" w:hAnsi="Calibri" w:eastAsia="Times New Roman" w:cs="Calibri"/>
                <w:color w:val="000000" w:themeColor="text1"/>
                <w:sz w:val="20"/>
                <w:szCs w:val="20"/>
              </w:rPr>
              <w:t>.0.00004</w:t>
            </w:r>
            <w:r w:rsidRPr="2C1E4529">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tcPr>
          <w:p w:rsidR="00DC0E7E" w:rsidP="00014106" w:rsidRDefault="00747C56" w14:paraId="3FA64DBC" w14:textId="3FC5A42B">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Zobrazenie hlásení</w:t>
            </w:r>
          </w:p>
        </w:tc>
      </w:tr>
      <w:tr w:rsidRPr="003E5970" w:rsidR="00747C56" w:rsidTr="68A0F7A6" w14:paraId="45CD5400"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747C56" w:rsidP="00014106" w:rsidRDefault="00747C56" w14:paraId="04482604"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747C56" w:rsidP="00014106" w:rsidRDefault="77607135" w14:paraId="5EE70E6A" w14:textId="6D47D4FE">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M21.301.0.00005</w:t>
            </w:r>
            <w:r w:rsidRPr="2C1E4529">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tcPr>
          <w:p w:rsidR="00747C56" w:rsidP="00014106" w:rsidRDefault="00E06D46" w14:paraId="6120E3BA" w14:textId="23EDE42A">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Uloženie zmluvy</w:t>
            </w:r>
          </w:p>
        </w:tc>
      </w:tr>
      <w:tr w:rsidRPr="003E5970" w:rsidR="00E06D46" w:rsidTr="68A0F7A6" w14:paraId="764F7A9D"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E06D46" w:rsidP="00014106" w:rsidRDefault="00E06D46" w14:paraId="134A91DD"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E06D46" w:rsidP="00014106" w:rsidRDefault="00E06D46" w14:paraId="2ECA94F1" w14:textId="77777777">
            <w:pPr>
              <w:spacing w:after="0"/>
              <w:rPr>
                <w:rFonts w:ascii="Calibri" w:hAnsi="Calibri" w:eastAsia="Times New Roman" w:cs="Calibri"/>
                <w:color w:val="000000"/>
                <w:sz w:val="20"/>
                <w:szCs w:val="20"/>
              </w:rPr>
            </w:pPr>
          </w:p>
        </w:tc>
        <w:tc>
          <w:tcPr>
            <w:tcW w:w="3561" w:type="dxa"/>
            <w:tcBorders>
              <w:top w:val="nil"/>
              <w:left w:val="nil"/>
              <w:bottom w:val="nil"/>
              <w:right w:val="single" w:color="auto" w:sz="4" w:space="0"/>
            </w:tcBorders>
            <w:shd w:val="clear" w:color="auto" w:fill="auto"/>
            <w:noWrap/>
            <w:tcMar/>
            <w:vAlign w:val="bottom"/>
          </w:tcPr>
          <w:p w:rsidR="00E06D46" w:rsidP="00014106" w:rsidRDefault="00E06D46" w14:paraId="2CC0AA3C" w14:textId="77777777">
            <w:pPr>
              <w:spacing w:after="0"/>
              <w:rPr>
                <w:rFonts w:ascii="Calibri" w:hAnsi="Calibri" w:eastAsia="Times New Roman" w:cs="Calibri"/>
                <w:color w:val="000000"/>
                <w:sz w:val="20"/>
                <w:szCs w:val="20"/>
              </w:rPr>
            </w:pPr>
          </w:p>
        </w:tc>
      </w:tr>
      <w:tr w:rsidRPr="003E5970" w:rsidR="00E06D46" w:rsidTr="68A0F7A6" w14:paraId="2EA00F05" w14:textId="77777777">
        <w:trPr>
          <w:trHeight w:val="295"/>
        </w:trPr>
        <w:tc>
          <w:tcPr>
            <w:tcW w:w="2561" w:type="dxa"/>
            <w:tcBorders>
              <w:top w:val="nil"/>
              <w:left w:val="single" w:color="auto" w:sz="4" w:space="0"/>
              <w:bottom w:val="nil"/>
              <w:right w:val="nil"/>
            </w:tcBorders>
            <w:shd w:val="clear" w:color="auto" w:fill="auto"/>
            <w:noWrap/>
            <w:tcMar/>
            <w:vAlign w:val="bottom"/>
          </w:tcPr>
          <w:p w:rsidRPr="00E06D46" w:rsidR="00E06D46" w:rsidP="00014106" w:rsidRDefault="00E06D46" w14:paraId="53E50728" w14:textId="7F7ABB94">
            <w:pPr>
              <w:spacing w:after="0"/>
              <w:rPr>
                <w:rFonts w:ascii="Calibri" w:hAnsi="Calibri" w:eastAsia="Times New Roman" w:cs="Calibri"/>
                <w:b/>
                <w:bCs/>
                <w:color w:val="000000"/>
                <w:sz w:val="20"/>
                <w:szCs w:val="20"/>
              </w:rPr>
            </w:pPr>
            <w:r>
              <w:rPr>
                <w:rFonts w:ascii="Calibri" w:hAnsi="Calibri" w:eastAsia="Times New Roman" w:cs="Calibri"/>
                <w:b/>
                <w:bCs/>
                <w:color w:val="000000"/>
                <w:sz w:val="20"/>
                <w:szCs w:val="20"/>
              </w:rPr>
              <w:t>Subproces M21.301.S.00001</w:t>
            </w:r>
          </w:p>
        </w:tc>
        <w:tc>
          <w:tcPr>
            <w:tcW w:w="2063" w:type="dxa"/>
            <w:tcBorders>
              <w:top w:val="nil"/>
              <w:left w:val="nil"/>
              <w:bottom w:val="nil"/>
              <w:right w:val="nil"/>
            </w:tcBorders>
            <w:shd w:val="clear" w:color="auto" w:fill="auto"/>
            <w:noWrap/>
            <w:tcMar/>
            <w:vAlign w:val="bottom"/>
          </w:tcPr>
          <w:p w:rsidR="00E06D46" w:rsidP="00014106" w:rsidRDefault="26319034" w14:paraId="14507163" w14:textId="2B9DC6B8">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M21.301.1.00001</w:t>
            </w:r>
            <w:r w:rsidRPr="2C1E4529">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tcPr>
          <w:p w:rsidR="00E06D46" w:rsidP="00014106" w:rsidRDefault="00E06D46" w14:paraId="6D1A8CFF" w14:textId="7B6C0660">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Ukončenie dokladov plnenia</w:t>
            </w:r>
          </w:p>
        </w:tc>
      </w:tr>
      <w:tr w:rsidRPr="003E5970" w:rsidR="00E06D46" w:rsidTr="68A0F7A6" w14:paraId="79429EF6" w14:textId="77777777">
        <w:trPr>
          <w:trHeight w:val="295"/>
        </w:trPr>
        <w:tc>
          <w:tcPr>
            <w:tcW w:w="2561" w:type="dxa"/>
            <w:tcBorders>
              <w:top w:val="nil"/>
              <w:left w:val="single" w:color="auto" w:sz="4" w:space="0"/>
              <w:bottom w:val="nil"/>
              <w:right w:val="nil"/>
            </w:tcBorders>
            <w:shd w:val="clear" w:color="auto" w:fill="auto"/>
            <w:noWrap/>
            <w:tcMar/>
            <w:vAlign w:val="bottom"/>
          </w:tcPr>
          <w:p w:rsidRPr="003E5970" w:rsidR="00E06D46" w:rsidP="00014106" w:rsidRDefault="00E06D46" w14:paraId="34ED4968" w14:textId="77777777">
            <w:pPr>
              <w:spacing w:after="0"/>
              <w:rPr>
                <w:rFonts w:ascii="Calibri" w:hAnsi="Calibri" w:eastAsia="Times New Roman" w:cs="Calibri"/>
                <w:color w:val="000000"/>
                <w:sz w:val="20"/>
                <w:szCs w:val="20"/>
              </w:rPr>
            </w:pPr>
          </w:p>
        </w:tc>
        <w:tc>
          <w:tcPr>
            <w:tcW w:w="2063" w:type="dxa"/>
            <w:tcBorders>
              <w:top w:val="nil"/>
              <w:left w:val="nil"/>
              <w:bottom w:val="nil"/>
              <w:right w:val="nil"/>
            </w:tcBorders>
            <w:shd w:val="clear" w:color="auto" w:fill="auto"/>
            <w:noWrap/>
            <w:tcMar/>
            <w:vAlign w:val="bottom"/>
          </w:tcPr>
          <w:p w:rsidR="00E06D46" w:rsidP="00014106" w:rsidRDefault="26319034" w14:paraId="0E25F5D3" w14:textId="5F62A120">
            <w:pPr>
              <w:spacing w:after="0"/>
              <w:rPr>
                <w:rFonts w:ascii="Calibri" w:hAnsi="Calibri" w:eastAsia="Times New Roman" w:cs="Calibri"/>
                <w:color w:val="000000"/>
                <w:sz w:val="20"/>
                <w:szCs w:val="20"/>
              </w:rPr>
            </w:pPr>
            <w:r w:rsidRPr="2C1E4529">
              <w:rPr>
                <w:rFonts w:ascii="Calibri" w:hAnsi="Calibri" w:eastAsia="Times New Roman" w:cs="Calibri"/>
                <w:color w:val="000000" w:themeColor="text1"/>
                <w:sz w:val="20"/>
                <w:szCs w:val="20"/>
              </w:rPr>
              <w:t>M21.301.1.00002</w:t>
            </w:r>
            <w:r w:rsidRPr="2C1E4529">
              <w:rPr>
                <w:rFonts w:ascii="Calibri" w:hAnsi="Calibri" w:eastAsia="Times New Roman" w:cs="Calibri"/>
                <w:color w:val="000000" w:themeColor="text1"/>
                <w:sz w:val="20"/>
                <w:szCs w:val="20"/>
              </w:rPr>
              <w:t>.</w:t>
            </w:r>
          </w:p>
        </w:tc>
        <w:tc>
          <w:tcPr>
            <w:tcW w:w="3561" w:type="dxa"/>
            <w:tcBorders>
              <w:top w:val="nil"/>
              <w:left w:val="nil"/>
              <w:bottom w:val="nil"/>
              <w:right w:val="single" w:color="auto" w:sz="4" w:space="0"/>
            </w:tcBorders>
            <w:shd w:val="clear" w:color="auto" w:fill="auto"/>
            <w:noWrap/>
            <w:tcMar/>
            <w:vAlign w:val="bottom"/>
          </w:tcPr>
          <w:p w:rsidR="00E06D46" w:rsidP="00014106" w:rsidRDefault="00E06D46" w14:paraId="6154475D" w14:textId="7ACCE521">
            <w:pPr>
              <w:spacing w:after="0"/>
              <w:rPr>
                <w:rFonts w:ascii="Calibri" w:hAnsi="Calibri" w:eastAsia="Times New Roman" w:cs="Calibri"/>
                <w:color w:val="000000"/>
                <w:sz w:val="20"/>
                <w:szCs w:val="20"/>
              </w:rPr>
            </w:pPr>
            <w:r>
              <w:rPr>
                <w:rFonts w:ascii="Calibri" w:hAnsi="Calibri" w:eastAsia="Times New Roman" w:cs="Calibri"/>
                <w:color w:val="000000"/>
                <w:sz w:val="20"/>
                <w:szCs w:val="20"/>
              </w:rPr>
              <w:t>Vytvorenie nových dokladov plnenia</w:t>
            </w:r>
          </w:p>
        </w:tc>
      </w:tr>
      <w:tr w:rsidRPr="003E5970" w:rsidR="007B3931" w:rsidTr="68A0F7A6" w14:paraId="0D1D586F" w14:textId="77777777">
        <w:trPr>
          <w:trHeight w:val="295"/>
        </w:trPr>
        <w:tc>
          <w:tcPr>
            <w:tcW w:w="2561" w:type="dxa"/>
            <w:tcBorders>
              <w:top w:val="single" w:color="auto" w:sz="4" w:space="0"/>
              <w:left w:val="single" w:color="auto" w:sz="4" w:space="0"/>
              <w:bottom w:val="single" w:color="auto" w:sz="4" w:space="0"/>
              <w:right w:val="nil"/>
            </w:tcBorders>
            <w:shd w:val="clear" w:color="auto" w:fill="auto"/>
            <w:noWrap/>
            <w:tcMar/>
          </w:tcPr>
          <w:p w:rsidRPr="003E5970" w:rsidR="007B3931" w:rsidP="00014106" w:rsidRDefault="007B3931" w14:paraId="21B5EDC0" w14:textId="77777777">
            <w:pPr>
              <w:spacing w:after="0"/>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Vstup do procesu</w:t>
            </w:r>
          </w:p>
        </w:tc>
        <w:tc>
          <w:tcPr>
            <w:tcW w:w="2063" w:type="dxa"/>
            <w:tcBorders>
              <w:top w:val="single" w:color="auto" w:sz="4" w:space="0"/>
              <w:left w:val="nil"/>
              <w:bottom w:val="single" w:color="auto" w:sz="4" w:space="0"/>
              <w:right w:val="nil"/>
            </w:tcBorders>
            <w:shd w:val="clear" w:color="auto" w:fill="auto"/>
            <w:noWrap/>
            <w:tcMar/>
          </w:tcPr>
          <w:p w:rsidRPr="003E5970" w:rsidR="007B3931" w:rsidP="002C429D" w:rsidRDefault="007B3931" w14:paraId="1C47584B" w14:textId="21194BE2">
            <w:pPr>
              <w:spacing w:after="0"/>
              <w:rPr>
                <w:rFonts w:ascii="Calibri" w:hAnsi="Calibri" w:eastAsia="Times New Roman" w:cs="Calibri"/>
                <w:color w:val="000000"/>
                <w:sz w:val="20"/>
                <w:szCs w:val="20"/>
              </w:rPr>
            </w:pPr>
          </w:p>
        </w:tc>
        <w:tc>
          <w:tcPr>
            <w:tcW w:w="3561" w:type="dxa"/>
            <w:tcBorders>
              <w:top w:val="single" w:color="auto" w:sz="4" w:space="0"/>
              <w:left w:val="nil"/>
              <w:bottom w:val="single" w:color="auto" w:sz="4" w:space="0"/>
              <w:right w:val="single" w:color="auto" w:sz="4" w:space="0"/>
            </w:tcBorders>
            <w:shd w:val="clear" w:color="auto" w:fill="auto"/>
            <w:noWrap/>
            <w:tcMar/>
          </w:tcPr>
          <w:p w:rsidRPr="003E5970" w:rsidR="002C429D" w:rsidP="00014106" w:rsidRDefault="715FA3F6" w14:paraId="29E68F8A" w14:textId="702E1DC8">
            <w:pPr>
              <w:spacing w:after="0"/>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Požiadavka na zmenu obchodného partnera zmluvy</w:t>
            </w:r>
          </w:p>
        </w:tc>
      </w:tr>
      <w:tr w:rsidRPr="003E5970" w:rsidR="007B3931" w:rsidTr="68A0F7A6" w14:paraId="16100D87" w14:textId="77777777">
        <w:trPr>
          <w:trHeight w:val="295"/>
        </w:trPr>
        <w:tc>
          <w:tcPr>
            <w:tcW w:w="2561" w:type="dxa"/>
            <w:tcBorders>
              <w:top w:val="single" w:color="auto" w:sz="4" w:space="0"/>
              <w:left w:val="single" w:color="auto" w:sz="4" w:space="0"/>
              <w:bottom w:val="single" w:color="auto" w:sz="4" w:space="0"/>
              <w:right w:val="nil"/>
            </w:tcBorders>
            <w:shd w:val="clear" w:color="auto" w:fill="auto"/>
            <w:noWrap/>
            <w:tcMar/>
            <w:vAlign w:val="bottom"/>
          </w:tcPr>
          <w:p w:rsidRPr="003E5970" w:rsidR="007B3931" w:rsidP="00014106" w:rsidRDefault="007B3931" w14:paraId="39D64FC0" w14:textId="77777777">
            <w:pPr>
              <w:spacing w:after="0"/>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Výstup z procesu</w:t>
            </w:r>
          </w:p>
          <w:p w:rsidRPr="003E5970" w:rsidR="007B3931" w:rsidP="00014106" w:rsidRDefault="007B3931" w14:paraId="6DBE3FC8" w14:textId="77777777">
            <w:pPr>
              <w:spacing w:after="0"/>
              <w:rPr>
                <w:rFonts w:ascii="Calibri" w:hAnsi="Calibri" w:eastAsia="Times New Roman" w:cs="Calibri"/>
                <w:color w:val="000000"/>
                <w:sz w:val="20"/>
                <w:szCs w:val="20"/>
              </w:rPr>
            </w:pPr>
          </w:p>
        </w:tc>
        <w:tc>
          <w:tcPr>
            <w:tcW w:w="2063" w:type="dxa"/>
            <w:tcBorders>
              <w:top w:val="single" w:color="auto" w:sz="4" w:space="0"/>
              <w:left w:val="nil"/>
              <w:bottom w:val="single" w:color="auto" w:sz="4" w:space="0"/>
              <w:right w:val="nil"/>
            </w:tcBorders>
            <w:shd w:val="clear" w:color="auto" w:fill="auto"/>
            <w:noWrap/>
            <w:tcMar/>
            <w:vAlign w:val="bottom"/>
          </w:tcPr>
          <w:p w:rsidRPr="003E5970" w:rsidR="002C429D" w:rsidP="00014106" w:rsidRDefault="715FA3F6" w14:paraId="36A1BCFD" w14:textId="3E4A60CF">
            <w:pPr>
              <w:spacing w:after="0"/>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Obchodný partner zmluvy zmenený</w:t>
            </w:r>
          </w:p>
        </w:tc>
        <w:tc>
          <w:tcPr>
            <w:tcW w:w="3561" w:type="dxa"/>
            <w:tcBorders>
              <w:top w:val="single" w:color="auto" w:sz="4" w:space="0"/>
              <w:left w:val="nil"/>
              <w:bottom w:val="single" w:color="auto" w:sz="4" w:space="0"/>
              <w:right w:val="single" w:color="auto" w:sz="4" w:space="0"/>
            </w:tcBorders>
            <w:shd w:val="clear" w:color="auto" w:fill="auto"/>
            <w:noWrap/>
            <w:tcMar/>
            <w:vAlign w:val="bottom"/>
          </w:tcPr>
          <w:p w:rsidRPr="003E5970" w:rsidR="007B3931" w:rsidP="00014106" w:rsidRDefault="007B3931" w14:paraId="75DC0DF3" w14:textId="77777777">
            <w:pPr>
              <w:spacing w:after="0"/>
              <w:rPr>
                <w:rFonts w:ascii="Calibri" w:hAnsi="Calibri" w:eastAsia="Times New Roman" w:cs="Calibri"/>
                <w:color w:val="000000"/>
                <w:sz w:val="20"/>
                <w:szCs w:val="20"/>
              </w:rPr>
            </w:pPr>
          </w:p>
        </w:tc>
      </w:tr>
    </w:tbl>
    <w:p w:rsidR="68A0F7A6" w:rsidRDefault="68A0F7A6" w14:paraId="313B00A9" w14:textId="2C516046"/>
    <w:p w:rsidRPr="003E5970" w:rsidR="008355BB" w:rsidP="003F658C" w:rsidRDefault="008113CA" w14:paraId="438AA58E" w14:textId="1BFEB017">
      <w:pPr>
        <w:pStyle w:val="Popis"/>
        <w:keepNext/>
      </w:pPr>
      <w:r w:rsidRPr="003E5970">
        <w:t xml:space="preserve">Tabuľka </w:t>
      </w:r>
      <w:r w:rsidRPr="003E5970">
        <w:fldChar w:fldCharType="begin"/>
      </w:r>
      <w:r w:rsidRPr="003E5970">
        <w:instrText xml:space="preserve"> SEQ Tabuľka \* ARABIC </w:instrText>
      </w:r>
      <w:r w:rsidRPr="003E5970">
        <w:fldChar w:fldCharType="separate"/>
      </w:r>
      <w:r w:rsidRPr="003E5970">
        <w:t>1</w:t>
      </w:r>
      <w:r w:rsidRPr="003E5970">
        <w:fldChar w:fldCharType="end"/>
      </w:r>
      <w:r w:rsidRPr="003E5970">
        <w:t xml:space="preserve"> - roly a aktivity</w:t>
      </w:r>
    </w:p>
    <w:p w:rsidRPr="003E5970" w:rsidR="008355BB" w:rsidP="008113CA" w:rsidRDefault="008C0FB0" w14:paraId="129CE3CA" w14:textId="5D9CD305">
      <w:pPr>
        <w:pStyle w:val="Nadpis2"/>
      </w:pPr>
      <w:r w:rsidRPr="003E5970">
        <w:t>Popis vykonaných aktivít</w:t>
      </w:r>
    </w:p>
    <w:tbl>
      <w:tblPr>
        <w:tblStyle w:val="Mriekatabuky"/>
        <w:tblW w:w="0" w:type="auto"/>
        <w:tblCellMar>
          <w:top w:w="57" w:type="dxa"/>
          <w:bottom w:w="57" w:type="dxa"/>
        </w:tblCellMar>
        <w:tblLook w:val="04A0" w:firstRow="1" w:lastRow="0" w:firstColumn="1" w:lastColumn="0" w:noHBand="0" w:noVBand="1"/>
      </w:tblPr>
      <w:tblGrid>
        <w:gridCol w:w="1720"/>
        <w:gridCol w:w="7630"/>
      </w:tblGrid>
      <w:tr w:rsidRPr="003E5970" w:rsidR="006407A3" w:rsidTr="54DE2DE6" w14:paraId="67395EC8" w14:textId="77777777">
        <w:tc>
          <w:tcPr>
            <w:tcW w:w="1696" w:type="dxa"/>
            <w:shd w:val="clear" w:color="auto" w:fill="D9D9D9" w:themeFill="background1" w:themeFillShade="D9"/>
          </w:tcPr>
          <w:p w:rsidRPr="003E5970" w:rsidR="006407A3" w:rsidP="008355BB" w:rsidRDefault="006407A3" w14:paraId="7C8E13FD" w14:textId="428800CA">
            <w:pPr>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Aktivita</w:t>
            </w:r>
          </w:p>
        </w:tc>
        <w:tc>
          <w:tcPr>
            <w:tcW w:w="7654" w:type="dxa"/>
            <w:shd w:val="clear" w:color="auto" w:fill="D9D9D9" w:themeFill="background1" w:themeFillShade="D9"/>
          </w:tcPr>
          <w:p w:rsidRPr="003E5970" w:rsidR="006407A3" w:rsidP="008355BB" w:rsidRDefault="006407A3" w14:paraId="71A1CCC4" w14:textId="28CD289F">
            <w:pPr>
              <w:rPr>
                <w:rFonts w:ascii="Calibri" w:hAnsi="Calibri" w:eastAsia="Times New Roman" w:cs="Calibri"/>
                <w:b/>
                <w:bCs/>
                <w:color w:val="000000"/>
                <w:sz w:val="20"/>
                <w:szCs w:val="20"/>
              </w:rPr>
            </w:pPr>
            <w:r w:rsidRPr="003E5970">
              <w:rPr>
                <w:rFonts w:ascii="Calibri" w:hAnsi="Calibri" w:eastAsia="Times New Roman" w:cs="Calibri"/>
                <w:b/>
                <w:bCs/>
                <w:color w:val="000000"/>
                <w:sz w:val="20"/>
                <w:szCs w:val="20"/>
              </w:rPr>
              <w:t>Popis</w:t>
            </w:r>
          </w:p>
        </w:tc>
      </w:tr>
      <w:tr w:rsidRPr="003E5970" w:rsidR="006407A3" w:rsidTr="54DE2DE6" w14:paraId="5BD4A110" w14:textId="77777777">
        <w:tc>
          <w:tcPr>
            <w:tcW w:w="1696" w:type="dxa"/>
          </w:tcPr>
          <w:p w:rsidRPr="00FC6DE7" w:rsidR="006407A3" w:rsidP="008355BB" w:rsidRDefault="2C8215B5" w14:paraId="1EF607EF" w14:textId="62DCF843">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M21.301.0.00001</w:t>
            </w:r>
            <w:r w:rsidRPr="2C1E4529">
              <w:rPr>
                <w:rFonts w:ascii="Calibri" w:hAnsi="Calibri" w:eastAsia="Times New Roman" w:cs="Calibri"/>
                <w:b/>
                <w:bCs/>
                <w:color w:val="000000" w:themeColor="text1"/>
                <w:sz w:val="20"/>
                <w:szCs w:val="20"/>
              </w:rPr>
              <w:t>.</w:t>
            </w:r>
          </w:p>
        </w:tc>
        <w:tc>
          <w:tcPr>
            <w:tcW w:w="7654" w:type="dxa"/>
          </w:tcPr>
          <w:p w:rsidR="00DD19B7" w:rsidP="00DD19B7" w:rsidRDefault="7525C4B3" w14:paraId="25A4FC5D" w14:textId="35BE5569">
            <w:pPr>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Výber zmluvy na spracovanie</w:t>
            </w:r>
            <w:r w:rsidRPr="6D2332B4">
              <w:rPr>
                <w:rFonts w:ascii="Calibri" w:hAnsi="Calibri" w:eastAsia="Times New Roman" w:cs="Calibri"/>
                <w:color w:val="000000" w:themeColor="text1"/>
                <w:sz w:val="20"/>
                <w:szCs w:val="20"/>
              </w:rPr>
              <w:t xml:space="preserve">: Výber sa uskutočňuje pomocou bežnej </w:t>
            </w:r>
            <w:proofErr w:type="spellStart"/>
            <w:r w:rsidRPr="6D2332B4">
              <w:rPr>
                <w:rFonts w:ascii="Calibri" w:hAnsi="Calibri" w:eastAsia="Times New Roman" w:cs="Calibri"/>
                <w:color w:val="000000" w:themeColor="text1"/>
                <w:sz w:val="20"/>
                <w:szCs w:val="20"/>
              </w:rPr>
              <w:t>nápovedy</w:t>
            </w:r>
            <w:proofErr w:type="spellEnd"/>
            <w:r w:rsidRPr="6D2332B4">
              <w:rPr>
                <w:rFonts w:ascii="Calibri" w:hAnsi="Calibri" w:eastAsia="Times New Roman" w:cs="Calibri"/>
                <w:color w:val="000000" w:themeColor="text1"/>
                <w:sz w:val="20"/>
                <w:szCs w:val="20"/>
              </w:rPr>
              <w:t xml:space="preserve"> vyhľadávania.</w:t>
            </w:r>
            <w:r w:rsidRPr="6D2332B4" w:rsidR="36C26859">
              <w:rPr>
                <w:rFonts w:ascii="Calibri" w:hAnsi="Calibri" w:eastAsia="Times New Roman" w:cs="Calibri"/>
                <w:color w:val="000000" w:themeColor="text1"/>
                <w:sz w:val="20"/>
                <w:szCs w:val="20"/>
              </w:rPr>
              <w:t xml:space="preserve"> Pri výbere sa vykoná primárna kontrola zadanej zmluvy: </w:t>
            </w:r>
          </w:p>
          <w:p w:rsidR="00743F9E" w:rsidP="00743F9E" w:rsidRDefault="00743F9E" w14:paraId="7EA6CAC7" w14:textId="77777777">
            <w:pPr>
              <w:pStyle w:val="Odsekzoznamu"/>
              <w:numPr>
                <w:ilvl w:val="0"/>
                <w:numId w:val="20"/>
              </w:numPr>
              <w:rPr>
                <w:rFonts w:ascii="Calibri" w:hAnsi="Calibri" w:eastAsia="Times New Roman" w:cs="Calibri"/>
                <w:color w:val="000000"/>
                <w:sz w:val="20"/>
                <w:szCs w:val="20"/>
              </w:rPr>
            </w:pPr>
            <w:r>
              <w:rPr>
                <w:rFonts w:ascii="Calibri" w:hAnsi="Calibri" w:eastAsia="Times New Roman" w:cs="Calibri"/>
                <w:color w:val="000000"/>
                <w:sz w:val="20"/>
                <w:szCs w:val="20"/>
              </w:rPr>
              <w:t>Zmluvu nesmie v tej chvíli spracovávať iný užívateľ</w:t>
            </w:r>
          </w:p>
          <w:p w:rsidRPr="00743F9E" w:rsidR="00743F9E" w:rsidP="00743F9E" w:rsidRDefault="36C26859" w14:paraId="5F9B172A" w14:textId="0D8CA9EF">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Zmluva musí byť aktívna (nesmie byť ukončená)</w:t>
            </w:r>
          </w:p>
        </w:tc>
      </w:tr>
      <w:tr w:rsidRPr="003E5970" w:rsidR="006407A3" w:rsidTr="54DE2DE6" w14:paraId="112C1D4F" w14:textId="77777777">
        <w:tc>
          <w:tcPr>
            <w:tcW w:w="1696" w:type="dxa"/>
          </w:tcPr>
          <w:p w:rsidRPr="00FC6DE7" w:rsidR="006407A3" w:rsidP="008355BB" w:rsidRDefault="2C8215B5" w14:paraId="0733D7DB" w14:textId="5516E7CA">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M21.301.0.00002</w:t>
            </w:r>
            <w:r w:rsidRPr="2C1E4529">
              <w:rPr>
                <w:rFonts w:ascii="Calibri" w:hAnsi="Calibri" w:eastAsia="Times New Roman" w:cs="Calibri"/>
                <w:b/>
                <w:bCs/>
                <w:color w:val="000000" w:themeColor="text1"/>
                <w:sz w:val="20"/>
                <w:szCs w:val="20"/>
              </w:rPr>
              <w:t>.</w:t>
            </w:r>
          </w:p>
        </w:tc>
        <w:tc>
          <w:tcPr>
            <w:tcW w:w="7654" w:type="dxa"/>
          </w:tcPr>
          <w:p w:rsidR="00E81D82" w:rsidP="006C1EB0" w:rsidRDefault="7525C4B3" w14:paraId="1D0CF666" w14:textId="54157C87">
            <w:pPr>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 xml:space="preserve">Zadanie nového partnera zmluvy: </w:t>
            </w:r>
            <w:r w:rsidRPr="6D2332B4" w:rsidR="3A246C4C">
              <w:rPr>
                <w:rFonts w:ascii="Calibri" w:hAnsi="Calibri" w:eastAsia="Times New Roman" w:cs="Calibri"/>
                <w:color w:val="000000" w:themeColor="text1"/>
                <w:sz w:val="20"/>
                <w:szCs w:val="20"/>
              </w:rPr>
              <w:t xml:space="preserve">Zadávajú sa dva základné údaje: </w:t>
            </w:r>
          </w:p>
          <w:p w:rsidR="00D52E41" w:rsidP="00E81D82" w:rsidRDefault="3A246C4C" w14:paraId="6F8DCEAF" w14:textId="47872FB1">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Výber partnera, ktorého chceme v zmluve zmeniť  - len v prípade, že je zmluva uzatvorená s viacerými partnermi.</w:t>
            </w:r>
          </w:p>
          <w:p w:rsidR="00E81D82" w:rsidP="004C260B" w:rsidRDefault="3A246C4C" w14:paraId="073C4AA1" w14:textId="672F0A50">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Zadanie nového partnera – pri zadaní nového partnera sa vykonajú bežné kontroly partnera, rovnaké ako pri zakladaní zmluvy (existencia partnera, blokovanie, ...).</w:t>
            </w:r>
          </w:p>
          <w:p w:rsidRPr="00DA77D8" w:rsidR="00DA77D8" w:rsidP="00DA77D8" w:rsidRDefault="00DA77D8" w14:paraId="6AEC9564" w14:textId="6BA7A7F2">
            <w:pPr>
              <w:rPr>
                <w:rFonts w:ascii="Calibri" w:hAnsi="Calibri" w:eastAsia="Times New Roman" w:cs="Calibri"/>
                <w:color w:val="000000"/>
                <w:sz w:val="20"/>
                <w:szCs w:val="20"/>
              </w:rPr>
            </w:pPr>
            <w:r>
              <w:rPr>
                <w:rFonts w:ascii="Calibri" w:hAnsi="Calibri" w:eastAsia="Times New Roman" w:cs="Calibri"/>
                <w:color w:val="000000"/>
                <w:sz w:val="20"/>
                <w:szCs w:val="20"/>
              </w:rPr>
              <w:t>Po výbere nového partnera je možné spustiť samotnú delimitáciu príslušným tlačidlom.</w:t>
            </w:r>
          </w:p>
        </w:tc>
      </w:tr>
      <w:tr w:rsidRPr="003E5970" w:rsidR="006C1EB0" w:rsidTr="54DE2DE6" w14:paraId="3020CA01" w14:textId="77777777">
        <w:tc>
          <w:tcPr>
            <w:tcW w:w="1696" w:type="dxa"/>
          </w:tcPr>
          <w:p w:rsidR="006C1EB0" w:rsidP="008355BB" w:rsidRDefault="0A100240" w14:paraId="4B5A3E50" w14:textId="6A5331A1">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M21.301.0.00003</w:t>
            </w:r>
            <w:r w:rsidRPr="2C1E4529">
              <w:rPr>
                <w:rFonts w:ascii="Calibri" w:hAnsi="Calibri" w:eastAsia="Times New Roman" w:cs="Calibri"/>
                <w:b/>
                <w:bCs/>
                <w:color w:val="000000" w:themeColor="text1"/>
                <w:sz w:val="20"/>
                <w:szCs w:val="20"/>
              </w:rPr>
              <w:t>.</w:t>
            </w:r>
          </w:p>
        </w:tc>
        <w:tc>
          <w:tcPr>
            <w:tcW w:w="7654" w:type="dxa"/>
          </w:tcPr>
          <w:p w:rsidR="00743F9E" w:rsidP="004C260B" w:rsidRDefault="5B562BD5" w14:paraId="45A198CF" w14:textId="57573C9B">
            <w:pPr>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 xml:space="preserve">Kontrola dát zmluvy: </w:t>
            </w:r>
            <w:r w:rsidRPr="6D2332B4">
              <w:rPr>
                <w:rFonts w:ascii="Calibri" w:hAnsi="Calibri" w:eastAsia="Times New Roman" w:cs="Calibri"/>
                <w:color w:val="000000" w:themeColor="text1"/>
                <w:sz w:val="20"/>
                <w:szCs w:val="20"/>
              </w:rPr>
              <w:t xml:space="preserve">Vykoná sa kontrola zmluvy s ohľadom na zadaného partnera pre delimitáciu. Zadaný partner musí vyhovovať dátam v zmluve (ak je napríklad zmluva dodávateľská, tak partner musí mať založenú dodávateľskú rolu). </w:t>
            </w:r>
          </w:p>
          <w:p w:rsidR="00743F9E" w:rsidP="004C260B" w:rsidRDefault="36C26859" w14:paraId="3331F396" w14:textId="05A1D5BF">
            <w:p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 xml:space="preserve">Okrem kontroly partnera sa vykoná aj kontrola zmluvy pre delimitáciu: </w:t>
            </w:r>
          </w:p>
          <w:p w:rsidRPr="00CF3DC8" w:rsidR="00CF3DC8" w:rsidP="003F1F8E" w:rsidRDefault="36C26859" w14:paraId="1BD19448" w14:textId="77777777">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V daný deň nebol partner na zmluve menený (nie je možné v jeden deň partnera na zmluve meniť viac krát).</w:t>
            </w:r>
          </w:p>
          <w:p w:rsidRPr="00743F9E" w:rsidR="00743F9E" w:rsidP="003F1F8E" w:rsidRDefault="36C26859" w14:paraId="69DC6395" w14:textId="6D34C0B3">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lastRenderedPageBreak/>
              <w:t>Zmluva musí mať otvorené plnenie – to znamená, že nesmie byť vyčerpaná celková hodnota zmluvy alebo celkové množstvo zmluvy – v tomto prípade totiž delimitácia nemá význam.</w:t>
            </w:r>
          </w:p>
          <w:p w:rsidRPr="004C260B" w:rsidR="00DD19B7" w:rsidP="004C260B" w:rsidRDefault="004C260B" w14:paraId="60156717" w14:textId="52ACAE25">
            <w:pPr>
              <w:rPr>
                <w:rFonts w:ascii="Calibri" w:hAnsi="Calibri" w:eastAsia="Times New Roman" w:cs="Calibri"/>
                <w:color w:val="000000"/>
                <w:sz w:val="20"/>
                <w:szCs w:val="20"/>
              </w:rPr>
            </w:pPr>
            <w:r>
              <w:rPr>
                <w:rFonts w:ascii="Calibri" w:hAnsi="Calibri" w:eastAsia="Times New Roman" w:cs="Calibri"/>
                <w:color w:val="000000"/>
                <w:sz w:val="20"/>
                <w:szCs w:val="20"/>
              </w:rPr>
              <w:t>Kontrola je vykonávaná automaticky na pozadí po voľbe užívateľa na vykonanie delimitácie.</w:t>
            </w:r>
          </w:p>
        </w:tc>
      </w:tr>
      <w:tr w:rsidRPr="003E5970" w:rsidR="00DD19B7" w:rsidTr="54DE2DE6" w14:paraId="7ABD2994" w14:textId="77777777">
        <w:tc>
          <w:tcPr>
            <w:tcW w:w="1696" w:type="dxa"/>
          </w:tcPr>
          <w:p w:rsidR="00DD19B7" w:rsidP="008355BB" w:rsidRDefault="1B50B280" w14:paraId="3BD97C5C" w14:textId="40856842">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lastRenderedPageBreak/>
              <w:t>M21.301.0.00004</w:t>
            </w:r>
            <w:r w:rsidRPr="2C1E4529">
              <w:rPr>
                <w:rFonts w:ascii="Calibri" w:hAnsi="Calibri" w:eastAsia="Times New Roman" w:cs="Calibri"/>
                <w:b/>
                <w:bCs/>
                <w:color w:val="000000" w:themeColor="text1"/>
                <w:sz w:val="20"/>
                <w:szCs w:val="20"/>
              </w:rPr>
              <w:t>.</w:t>
            </w:r>
          </w:p>
        </w:tc>
        <w:tc>
          <w:tcPr>
            <w:tcW w:w="7654" w:type="dxa"/>
          </w:tcPr>
          <w:p w:rsidRPr="00743F9E" w:rsidR="00DD19B7" w:rsidP="006C1EB0" w:rsidRDefault="36C26859" w14:paraId="2184B269" w14:textId="48BCDFEC">
            <w:pPr>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 xml:space="preserve">Zobrazenie hlásení: </w:t>
            </w:r>
            <w:r w:rsidRPr="6D2332B4">
              <w:rPr>
                <w:rFonts w:ascii="Calibri" w:hAnsi="Calibri" w:eastAsia="Times New Roman" w:cs="Calibri"/>
                <w:color w:val="000000" w:themeColor="text1"/>
                <w:sz w:val="20"/>
                <w:szCs w:val="20"/>
              </w:rPr>
              <w:t>Vzhľadom na to, že delimitácia partnera prebieha vždy za jednu zmluvu, tak výsledky delimitácie a kontroly sú zobrazované vo forme bežných hlásení (chybové hlásenia, upozornenia, hlásenia o úspešnom spracovaní).</w:t>
            </w:r>
          </w:p>
        </w:tc>
      </w:tr>
      <w:tr w:rsidRPr="003E5970" w:rsidR="00743F9E" w:rsidTr="54DE2DE6" w14:paraId="10F67BC1" w14:textId="77777777">
        <w:tc>
          <w:tcPr>
            <w:tcW w:w="1696" w:type="dxa"/>
          </w:tcPr>
          <w:p w:rsidR="00743F9E" w:rsidP="008355BB" w:rsidRDefault="1B50B280" w14:paraId="258E14DC" w14:textId="0F61B597">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M21.301.0.00005</w:t>
            </w:r>
            <w:r w:rsidRPr="2C1E4529">
              <w:rPr>
                <w:rFonts w:ascii="Calibri" w:hAnsi="Calibri" w:eastAsia="Times New Roman" w:cs="Calibri"/>
                <w:b/>
                <w:bCs/>
                <w:color w:val="000000" w:themeColor="text1"/>
                <w:sz w:val="20"/>
                <w:szCs w:val="20"/>
              </w:rPr>
              <w:t>.</w:t>
            </w:r>
          </w:p>
        </w:tc>
        <w:tc>
          <w:tcPr>
            <w:tcW w:w="7654" w:type="dxa"/>
          </w:tcPr>
          <w:p w:rsidR="00743F9E" w:rsidP="006C1EB0" w:rsidRDefault="36C26859" w14:paraId="6B4A7B07" w14:textId="0F749778">
            <w:pPr>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 xml:space="preserve">Uloženie zmluvy: </w:t>
            </w:r>
            <w:r w:rsidRPr="6D2332B4">
              <w:rPr>
                <w:rFonts w:ascii="Calibri" w:hAnsi="Calibri" w:eastAsia="Times New Roman" w:cs="Calibri"/>
                <w:color w:val="000000" w:themeColor="text1"/>
                <w:sz w:val="20"/>
                <w:szCs w:val="20"/>
              </w:rPr>
              <w:t xml:space="preserve">Po vykonaní všetkých nevyhnutných delimitačných krokov a kontrole zmluvy (ak je všetko v poriadku) je vykonané uloženie zmluvy. Pri uložení zmluvy sa vykonajú nasledovné činnosti: </w:t>
            </w:r>
          </w:p>
          <w:p w:rsidR="00743F9E" w:rsidP="00743F9E" w:rsidRDefault="14DC7C73" w14:paraId="19E38D4F" w14:textId="06E38B7F">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Doplní sa história obchodných partnerov v zmluve (ktorý partner a kedy bol zmenený).</w:t>
            </w:r>
          </w:p>
          <w:p w:rsidR="005503D4" w:rsidP="00743F9E" w:rsidRDefault="14DC7C73" w14:paraId="57B50315" w14:textId="0F38C1DC">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Aktualizujú sa dáta partnera v zmluve (na úrovni hlavičky aj na položkách zmluvy).</w:t>
            </w:r>
          </w:p>
          <w:p w:rsidR="005503D4" w:rsidP="00743F9E" w:rsidRDefault="14DC7C73" w14:paraId="542C3FAA" w14:textId="7EE418F9">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Aktualizuje sa prepojenie na doklady plnenia v prípade zmlúv MM/SD.</w:t>
            </w:r>
          </w:p>
          <w:p w:rsidRPr="00DE6247" w:rsidR="00DE6247" w:rsidP="00DE6247" w:rsidRDefault="00DE6247" w14:paraId="56C2F9D0" w14:textId="094B1FE2">
            <w:pPr>
              <w:rPr>
                <w:rFonts w:ascii="Calibri" w:hAnsi="Calibri" w:eastAsia="Times New Roman" w:cs="Calibri"/>
                <w:color w:val="000000"/>
                <w:sz w:val="20"/>
                <w:szCs w:val="20"/>
              </w:rPr>
            </w:pPr>
            <w:r>
              <w:rPr>
                <w:rFonts w:ascii="Calibri" w:hAnsi="Calibri" w:eastAsia="Times New Roman" w:cs="Calibri"/>
                <w:color w:val="000000"/>
                <w:sz w:val="20"/>
                <w:szCs w:val="20"/>
              </w:rPr>
              <w:t>Okrem samotnej zmluvy sa vykoná aktualizácia aj u všetkých dodatkov k zmluve.</w:t>
            </w:r>
          </w:p>
        </w:tc>
      </w:tr>
      <w:tr w:rsidRPr="003E5970" w:rsidR="005503D4" w:rsidTr="54DE2DE6" w14:paraId="37D6D425" w14:textId="77777777">
        <w:tc>
          <w:tcPr>
            <w:tcW w:w="1696" w:type="dxa"/>
          </w:tcPr>
          <w:p w:rsidR="005503D4" w:rsidP="008355BB" w:rsidRDefault="0EA79101" w14:paraId="6C6690F9" w14:textId="30F53F29">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M21.301.1.00001</w:t>
            </w:r>
            <w:r w:rsidRPr="2C1E4529">
              <w:rPr>
                <w:rFonts w:ascii="Calibri" w:hAnsi="Calibri" w:eastAsia="Times New Roman" w:cs="Calibri"/>
                <w:b/>
                <w:bCs/>
                <w:color w:val="000000" w:themeColor="text1"/>
                <w:sz w:val="20"/>
                <w:szCs w:val="20"/>
              </w:rPr>
              <w:t>.</w:t>
            </w:r>
          </w:p>
        </w:tc>
        <w:tc>
          <w:tcPr>
            <w:tcW w:w="7654" w:type="dxa"/>
          </w:tcPr>
          <w:p w:rsidR="005503D4" w:rsidP="006C1EB0" w:rsidRDefault="4008A8D3" w14:paraId="089A4F5E" w14:textId="41E22625">
            <w:pPr>
              <w:rPr>
                <w:rFonts w:ascii="Calibri" w:hAnsi="Calibri" w:eastAsia="Times New Roman" w:cs="Calibri"/>
                <w:color w:val="000000"/>
                <w:sz w:val="20"/>
                <w:szCs w:val="20"/>
              </w:rPr>
            </w:pPr>
            <w:r w:rsidRPr="2C1E4529">
              <w:rPr>
                <w:rFonts w:ascii="Calibri" w:hAnsi="Calibri" w:eastAsia="Times New Roman" w:cs="Calibri"/>
                <w:b/>
                <w:bCs/>
                <w:color w:val="000000" w:themeColor="text1"/>
                <w:sz w:val="20"/>
                <w:szCs w:val="20"/>
              </w:rPr>
              <w:t xml:space="preserve">Ukončenie dokladov plnenia: </w:t>
            </w:r>
            <w:r w:rsidRPr="2C1E4529" w:rsidR="2F29827D">
              <w:rPr>
                <w:rFonts w:ascii="Calibri" w:hAnsi="Calibri" w:eastAsia="Times New Roman" w:cs="Calibri"/>
                <w:color w:val="000000" w:themeColor="text1"/>
                <w:sz w:val="20"/>
                <w:szCs w:val="20"/>
              </w:rPr>
              <w:t xml:space="preserve">Pokiaľ zmluva bola plnená dokladmi MM/SD (Dodávateľská alebo Odberateľská zmluva), budú pôvodné doklady </w:t>
            </w:r>
            <w:r w:rsidRPr="2C1E4529" w:rsidR="7802079C">
              <w:rPr>
                <w:rFonts w:ascii="Calibri" w:hAnsi="Calibri" w:eastAsia="Times New Roman" w:cs="Calibri"/>
                <w:color w:val="000000" w:themeColor="text1"/>
                <w:sz w:val="20"/>
                <w:szCs w:val="20"/>
              </w:rPr>
              <w:t>s</w:t>
            </w:r>
            <w:r w:rsidRPr="2C1E4529" w:rsidR="7802079C">
              <w:rPr>
                <w:rFonts w:ascii="Calibri" w:hAnsi="Calibri" w:eastAsia="Times New Roman" w:cs="Calibri"/>
                <w:color w:val="000000" w:themeColor="text1"/>
                <w:sz w:val="20"/>
                <w:szCs w:val="20"/>
              </w:rPr>
              <w:t xml:space="preserve"> pôvodným</w:t>
            </w:r>
            <w:r w:rsidRPr="2C1E4529" w:rsidR="7802079C">
              <w:rPr>
                <w:rFonts w:ascii="Calibri" w:hAnsi="Calibri" w:eastAsia="Times New Roman" w:cs="Calibri"/>
                <w:color w:val="000000" w:themeColor="text1"/>
                <w:sz w:val="20"/>
                <w:szCs w:val="20"/>
              </w:rPr>
              <w:t xml:space="preserve">  Dodávateľom/Odberateľom ukončené. Ukončenie sa vykonáva nasledovne: </w:t>
            </w:r>
          </w:p>
          <w:p w:rsidR="00B32E01" w:rsidP="003F1F8E" w:rsidRDefault="3073BFD8" w14:paraId="0E3EA8D0" w14:textId="43E1DB62">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Pri hodnotových položkách sa určí vyčerpaná hodnota položky a tá sa nastaví ako hodnota položky (ak napríklad položka MM Kontraktu bola na 100.000 € a v momente delimitácie boli vystavené objednávky v celkovej hodnote 60.000 €, tak sa hodnota nastaví na 60.000 €).</w:t>
            </w:r>
          </w:p>
          <w:p w:rsidR="00B32E01" w:rsidP="003F1F8E" w:rsidRDefault="3073BFD8" w14:paraId="46E1BAFA" w14:textId="47C24B1C">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Obdobný princíp je pri množstevných položkách len s tým rozdielom že sa nastavuje množstvo a nie hodnota.</w:t>
            </w:r>
          </w:p>
          <w:p w:rsidR="00B32E01" w:rsidP="003F1F8E" w:rsidRDefault="3073BFD8" w14:paraId="7B511165" w14:textId="7064CAAA">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Celková hodnota pôvodného dokladu teda bude zodpovedať už vyčerpanej hodnote.</w:t>
            </w:r>
          </w:p>
          <w:p w:rsidR="007C34EB" w:rsidP="003F1F8E" w:rsidRDefault="3B739E7A" w14:paraId="33435097" w14:textId="45D54167">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 xml:space="preserve">Nastaví sa status položiek MM/SD dokladov: </w:t>
            </w:r>
          </w:p>
          <w:p w:rsidR="007C34EB" w:rsidP="003F1F8E" w:rsidRDefault="3B739E7A" w14:paraId="05548FB1" w14:textId="4469E420">
            <w:pPr>
              <w:pStyle w:val="Odsekzoznamu"/>
              <w:numPr>
                <w:ilvl w:val="1"/>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v prípade nákupných dokladov sa položky označia ako blokované,</w:t>
            </w:r>
          </w:p>
          <w:p w:rsidR="007C34EB" w:rsidP="003F1F8E" w:rsidRDefault="3B739E7A" w14:paraId="76BCF873" w14:textId="5294EEDB">
            <w:pPr>
              <w:pStyle w:val="Odsekzoznamu"/>
              <w:numPr>
                <w:ilvl w:val="1"/>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v prípade predajných dokladov sa nastaví status blokovania položky.</w:t>
            </w:r>
          </w:p>
          <w:p w:rsidR="00B32E01" w:rsidP="003F1F8E" w:rsidRDefault="00B32E01" w14:paraId="47944DF2" w14:textId="77777777">
            <w:pPr>
              <w:jc w:val="both"/>
              <w:rPr>
                <w:rFonts w:ascii="Calibri" w:hAnsi="Calibri" w:eastAsia="Times New Roman" w:cs="Calibri"/>
                <w:color w:val="000000"/>
                <w:sz w:val="20"/>
                <w:szCs w:val="20"/>
              </w:rPr>
            </w:pPr>
          </w:p>
          <w:p w:rsidR="00B32E01" w:rsidP="00B32E01" w:rsidRDefault="00B32E01" w14:paraId="4F1D985E" w14:textId="77777777">
            <w:pPr>
              <w:rPr>
                <w:rFonts w:ascii="Calibri" w:hAnsi="Calibri" w:eastAsia="Times New Roman" w:cs="Calibri"/>
                <w:color w:val="000000"/>
                <w:sz w:val="20"/>
                <w:szCs w:val="20"/>
              </w:rPr>
            </w:pPr>
            <w:r>
              <w:rPr>
                <w:rFonts w:ascii="Calibri" w:hAnsi="Calibri" w:eastAsia="Times New Roman" w:cs="Calibri"/>
                <w:color w:val="000000"/>
                <w:sz w:val="20"/>
                <w:szCs w:val="20"/>
              </w:rPr>
              <w:t>Ukončujú sa vždy len primárne doklady plnenia (priamo previazané na zmluvu). Následné doklady sa nespracovávajú. Ak teda napríklad ukončujeme kontrakt MM, tak už vystavené objednávky sa nemenia ani neupravujú (dobehnú ešte so starým dodávateľom).</w:t>
            </w:r>
          </w:p>
          <w:p w:rsidR="007C34EB" w:rsidP="00B32E01" w:rsidRDefault="007C34EB" w14:paraId="560BE280" w14:textId="77777777">
            <w:pPr>
              <w:rPr>
                <w:rFonts w:ascii="Calibri" w:hAnsi="Calibri" w:eastAsia="Times New Roman" w:cs="Calibri"/>
                <w:color w:val="000000"/>
                <w:sz w:val="20"/>
                <w:szCs w:val="20"/>
              </w:rPr>
            </w:pPr>
          </w:p>
          <w:p w:rsidRPr="00B32E01" w:rsidR="007C34EB" w:rsidP="00B32E01" w:rsidRDefault="007C34EB" w14:paraId="35D497F8" w14:textId="48BE7506">
            <w:pPr>
              <w:rPr>
                <w:rFonts w:ascii="Calibri" w:hAnsi="Calibri" w:eastAsia="Times New Roman" w:cs="Calibri"/>
                <w:color w:val="000000"/>
                <w:sz w:val="20"/>
                <w:szCs w:val="20"/>
              </w:rPr>
            </w:pPr>
            <w:r>
              <w:rPr>
                <w:rFonts w:ascii="Calibri" w:hAnsi="Calibri" w:eastAsia="Times New Roman" w:cs="Calibri"/>
                <w:color w:val="000000"/>
                <w:sz w:val="20"/>
                <w:szCs w:val="20"/>
              </w:rPr>
              <w:t>Ukončené doklady plnenia teda budú mať naďalej v systéme už realizované plnenie, ale nebudú sa môcť od momentu delimitácie používať.</w:t>
            </w:r>
          </w:p>
        </w:tc>
      </w:tr>
      <w:tr w:rsidRPr="003E5970" w:rsidR="007C34EB" w:rsidTr="54DE2DE6" w14:paraId="556FEEA8" w14:textId="77777777">
        <w:tc>
          <w:tcPr>
            <w:tcW w:w="1696" w:type="dxa"/>
          </w:tcPr>
          <w:p w:rsidR="007C34EB" w:rsidP="008355BB" w:rsidRDefault="61317345" w14:paraId="69C8BE57" w14:textId="614ECDC9">
            <w:pPr>
              <w:rPr>
                <w:rFonts w:ascii="Calibri" w:hAnsi="Calibri" w:eastAsia="Times New Roman" w:cs="Calibri"/>
                <w:b/>
                <w:bCs/>
                <w:color w:val="000000"/>
                <w:sz w:val="20"/>
                <w:szCs w:val="20"/>
              </w:rPr>
            </w:pPr>
            <w:r w:rsidRPr="2C1E4529">
              <w:rPr>
                <w:rFonts w:ascii="Calibri" w:hAnsi="Calibri" w:eastAsia="Times New Roman" w:cs="Calibri"/>
                <w:b/>
                <w:bCs/>
                <w:color w:val="000000" w:themeColor="text1"/>
                <w:sz w:val="20"/>
                <w:szCs w:val="20"/>
              </w:rPr>
              <w:t>M21.301.1.00002</w:t>
            </w:r>
            <w:r w:rsidRPr="2C1E4529">
              <w:rPr>
                <w:rFonts w:ascii="Calibri" w:hAnsi="Calibri" w:eastAsia="Times New Roman" w:cs="Calibri"/>
                <w:b/>
                <w:bCs/>
                <w:color w:val="000000" w:themeColor="text1"/>
                <w:sz w:val="20"/>
                <w:szCs w:val="20"/>
              </w:rPr>
              <w:t>.</w:t>
            </w:r>
          </w:p>
        </w:tc>
        <w:tc>
          <w:tcPr>
            <w:tcW w:w="7654" w:type="dxa"/>
          </w:tcPr>
          <w:p w:rsidR="007C34EB" w:rsidP="009650F2" w:rsidRDefault="3B739E7A" w14:paraId="24CFB9BA" w14:textId="70D21D27">
            <w:pPr>
              <w:jc w:val="both"/>
              <w:rPr>
                <w:rFonts w:ascii="Calibri" w:hAnsi="Calibri" w:eastAsia="Times New Roman" w:cs="Calibri"/>
                <w:color w:val="000000"/>
                <w:sz w:val="20"/>
                <w:szCs w:val="20"/>
              </w:rPr>
            </w:pPr>
            <w:r w:rsidRPr="6D2332B4">
              <w:rPr>
                <w:rFonts w:ascii="Calibri" w:hAnsi="Calibri" w:eastAsia="Times New Roman" w:cs="Calibri"/>
                <w:b/>
                <w:bCs/>
                <w:color w:val="000000" w:themeColor="text1"/>
                <w:sz w:val="20"/>
                <w:szCs w:val="20"/>
              </w:rPr>
              <w:t xml:space="preserve">Vytvorenie nových dokladov plnenia: </w:t>
            </w:r>
            <w:r w:rsidRPr="6D2332B4">
              <w:rPr>
                <w:rFonts w:ascii="Calibri" w:hAnsi="Calibri" w:eastAsia="Times New Roman" w:cs="Calibri"/>
                <w:color w:val="000000" w:themeColor="text1"/>
                <w:sz w:val="20"/>
                <w:szCs w:val="20"/>
              </w:rPr>
              <w:t>Po úspešnom ukončení pôvodných dokladov plnenia (MM/SD) je potrebné vytvoriť nové doklady plnenia založené pre nového d</w:t>
            </w:r>
            <w:r w:rsidRPr="6D2332B4" w:rsidR="13C9C6B2">
              <w:rPr>
                <w:rFonts w:ascii="Calibri" w:hAnsi="Calibri" w:eastAsia="Times New Roman" w:cs="Calibri"/>
                <w:color w:val="000000" w:themeColor="text1"/>
                <w:sz w:val="20"/>
                <w:szCs w:val="20"/>
              </w:rPr>
              <w:t>o</w:t>
            </w:r>
            <w:r w:rsidRPr="6D2332B4">
              <w:rPr>
                <w:rFonts w:ascii="Calibri" w:hAnsi="Calibri" w:eastAsia="Times New Roman" w:cs="Calibri"/>
                <w:color w:val="000000" w:themeColor="text1"/>
                <w:sz w:val="20"/>
                <w:szCs w:val="20"/>
              </w:rPr>
              <w:t>dávateľa/odberateľa. Tieto doklady sú viac-menej identické ako pôvodné doklady plnenia (druh ani typ dokladu sa nemení)</w:t>
            </w:r>
            <w:r w:rsidRPr="6D2332B4" w:rsidR="13C9C6B2">
              <w:rPr>
                <w:rFonts w:ascii="Calibri" w:hAnsi="Calibri" w:eastAsia="Times New Roman" w:cs="Calibri"/>
                <w:color w:val="000000" w:themeColor="text1"/>
                <w:sz w:val="20"/>
                <w:szCs w:val="20"/>
              </w:rPr>
              <w:t xml:space="preserve"> s nasledovnými rozdielmi: </w:t>
            </w:r>
          </w:p>
          <w:p w:rsidR="00F6672C" w:rsidP="009650F2" w:rsidRDefault="13C9C6B2" w14:paraId="686538C6" w14:textId="1A9E36A9">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Dodávateľ/Odberateľ je nový.</w:t>
            </w:r>
          </w:p>
          <w:p w:rsidR="00F6672C" w:rsidP="009650F2" w:rsidRDefault="13C9C6B2" w14:paraId="542A327E" w14:textId="08B32BF4">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Položky, ktoré boli v pôvodnom doklade naplnené na 100% sa do nového dokladu nepreberajú (zostatok je nulový).</w:t>
            </w:r>
          </w:p>
          <w:p w:rsidR="00F6672C" w:rsidP="009650F2" w:rsidRDefault="13C9C6B2" w14:paraId="5E908B22" w14:textId="1A90A5EF">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Položky, ktoré boli v pôvodnom doklade označené na výmaz alebo zablokované sa rovnako do nového dokladu nepreberajú.</w:t>
            </w:r>
          </w:p>
          <w:p w:rsidR="00F6672C" w:rsidP="009650F2" w:rsidRDefault="13C9C6B2" w14:paraId="14ED8C25" w14:textId="6AF9161C">
            <w:pPr>
              <w:pStyle w:val="Odsekzoznamu"/>
              <w:numPr>
                <w:ilvl w:val="0"/>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 xml:space="preserve">Preberú sa len otvorené položky: </w:t>
            </w:r>
          </w:p>
          <w:p w:rsidR="00F6672C" w:rsidP="009650F2" w:rsidRDefault="13C9C6B2" w14:paraId="2A7C78C8" w14:textId="0EDF49A3">
            <w:pPr>
              <w:pStyle w:val="Odsekzoznamu"/>
              <w:numPr>
                <w:ilvl w:val="1"/>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hodnotové položky sa založia so zostávajúcou hodnotou plnenia. Ak napríklad položka v zmluve bola na 100.000 €, v momente delimitácie bolo realizovaných 60.000 €, tak do nového dokladu sa prevezme 40.000 €,</w:t>
            </w:r>
          </w:p>
          <w:p w:rsidR="00F6672C" w:rsidP="009650F2" w:rsidRDefault="13C9C6B2" w14:paraId="4453B4D5" w14:textId="163504B3">
            <w:pPr>
              <w:pStyle w:val="Odsekzoznamu"/>
              <w:numPr>
                <w:ilvl w:val="1"/>
                <w:numId w:val="20"/>
              </w:numPr>
              <w:jc w:val="both"/>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lastRenderedPageBreak/>
              <w:t>rovnaký princíp platí aj pre množstevné položky len s tým rozdielom, že sa upravuje množstvo položky.</w:t>
            </w:r>
          </w:p>
          <w:p w:rsidR="00F6672C" w:rsidP="00F6672C" w:rsidRDefault="00F6672C" w14:paraId="6BBED0B4" w14:textId="77777777">
            <w:pPr>
              <w:rPr>
                <w:rFonts w:ascii="Calibri" w:hAnsi="Calibri" w:eastAsia="Times New Roman" w:cs="Calibri"/>
                <w:color w:val="000000"/>
                <w:sz w:val="20"/>
                <w:szCs w:val="20"/>
              </w:rPr>
            </w:pPr>
            <w:r>
              <w:rPr>
                <w:rFonts w:ascii="Calibri" w:hAnsi="Calibri" w:eastAsia="Times New Roman" w:cs="Calibri"/>
                <w:color w:val="000000"/>
                <w:sz w:val="20"/>
                <w:szCs w:val="20"/>
              </w:rPr>
              <w:t>Nový doklad plnenia má tak celkovú hodnotu vo výške zostávajúceho plnenia všetkých položiek zmluvy.</w:t>
            </w:r>
          </w:p>
          <w:p w:rsidR="00F6672C" w:rsidP="00F6672C" w:rsidRDefault="00F6672C" w14:paraId="0FA18250" w14:textId="77777777">
            <w:pPr>
              <w:rPr>
                <w:rFonts w:ascii="Calibri" w:hAnsi="Calibri" w:eastAsia="Times New Roman" w:cs="Calibri"/>
                <w:color w:val="000000"/>
                <w:sz w:val="20"/>
                <w:szCs w:val="20"/>
              </w:rPr>
            </w:pPr>
          </w:p>
          <w:p w:rsidR="00F6672C" w:rsidP="00F6672C" w:rsidRDefault="13C9C6B2" w14:paraId="5AC34719" w14:textId="47B555D5">
            <w:p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 xml:space="preserve">Výsledkom takéhoto spracovania je nasledovný príklad: </w:t>
            </w:r>
          </w:p>
          <w:p w:rsidR="00F6672C" w:rsidP="00F6672C" w:rsidRDefault="13C9C6B2" w14:paraId="1AF307B1" w14:textId="12AA9F2E">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Zmluva bola uzatvorená na 100.000 €.</w:t>
            </w:r>
          </w:p>
          <w:p w:rsidR="00F6672C" w:rsidP="00F6672C" w:rsidRDefault="17AA6910" w14:paraId="5C724F3F" w14:textId="1AFE78BB">
            <w:pPr>
              <w:pStyle w:val="Odsekzoznamu"/>
              <w:numPr>
                <w:ilvl w:val="0"/>
                <w:numId w:val="20"/>
              </w:numPr>
              <w:rPr>
                <w:rFonts w:ascii="Calibri" w:hAnsi="Calibri" w:eastAsia="Times New Roman" w:cs="Calibri"/>
                <w:color w:val="000000"/>
                <w:sz w:val="20"/>
                <w:szCs w:val="20"/>
              </w:rPr>
            </w:pPr>
            <w:r w:rsidRPr="54DE2DE6">
              <w:rPr>
                <w:rFonts w:ascii="Calibri" w:hAnsi="Calibri" w:eastAsia="Times New Roman" w:cs="Calibri"/>
                <w:color w:val="000000" w:themeColor="text1"/>
                <w:sz w:val="20"/>
                <w:szCs w:val="20"/>
              </w:rPr>
              <w:t xml:space="preserve">Pôvodný doklad </w:t>
            </w:r>
            <w:r w:rsidRPr="54DE2DE6">
              <w:rPr>
                <w:rFonts w:ascii="Calibri" w:hAnsi="Calibri" w:eastAsia="Times New Roman" w:cs="Calibri"/>
                <w:color w:val="000000" w:themeColor="text1"/>
                <w:sz w:val="20"/>
                <w:szCs w:val="20"/>
              </w:rPr>
              <w:t xml:space="preserve">je </w:t>
            </w:r>
            <w:r w:rsidRPr="54DE2DE6" w:rsidR="00CF16DA">
              <w:rPr>
                <w:rFonts w:ascii="Calibri" w:hAnsi="Calibri" w:eastAsia="Times New Roman" w:cs="Calibri"/>
                <w:color w:val="000000" w:themeColor="text1"/>
                <w:sz w:val="20"/>
                <w:szCs w:val="20"/>
              </w:rPr>
              <w:t>ukončený</w:t>
            </w:r>
            <w:r w:rsidR="00CF16DA">
              <w:rPr>
                <w:rFonts w:ascii="Calibri" w:hAnsi="Calibri" w:eastAsia="Times New Roman" w:cs="Calibri"/>
                <w:color w:val="000000" w:themeColor="text1"/>
                <w:sz w:val="20"/>
                <w:szCs w:val="20"/>
              </w:rPr>
              <w:t xml:space="preserve"> s</w:t>
            </w:r>
            <w:r w:rsidRPr="54DE2DE6">
              <w:rPr>
                <w:rFonts w:ascii="Calibri" w:hAnsi="Calibri" w:eastAsia="Times New Roman" w:cs="Calibri"/>
                <w:color w:val="000000" w:themeColor="text1"/>
                <w:sz w:val="20"/>
                <w:szCs w:val="20"/>
              </w:rPr>
              <w:t> hodnotou 60.000 €.</w:t>
            </w:r>
          </w:p>
          <w:p w:rsidR="00F6672C" w:rsidP="00F6672C" w:rsidRDefault="13C9C6B2" w14:paraId="41EA006D" w14:textId="04507F85">
            <w:pPr>
              <w:pStyle w:val="Odsekzoznamu"/>
              <w:numPr>
                <w:ilvl w:val="0"/>
                <w:numId w:val="20"/>
              </w:num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Nový doklad plnenia je na hodnotu 40.000 €.</w:t>
            </w:r>
          </w:p>
          <w:p w:rsidRPr="00F6672C" w:rsidR="00F6672C" w:rsidP="00F6672C" w:rsidRDefault="13C9C6B2" w14:paraId="553B0D09" w14:textId="6A918A27">
            <w:pPr>
              <w:rPr>
                <w:rFonts w:ascii="Calibri" w:hAnsi="Calibri" w:eastAsia="Times New Roman" w:cs="Calibri"/>
                <w:color w:val="000000"/>
                <w:sz w:val="20"/>
                <w:szCs w:val="20"/>
              </w:rPr>
            </w:pPr>
            <w:r w:rsidRPr="6D2332B4">
              <w:rPr>
                <w:rFonts w:ascii="Calibri" w:hAnsi="Calibri" w:eastAsia="Times New Roman" w:cs="Calibri"/>
                <w:color w:val="000000" w:themeColor="text1"/>
                <w:sz w:val="20"/>
                <w:szCs w:val="20"/>
              </w:rPr>
              <w:t xml:space="preserve">Sumárna hodnota všetkých dokladov plnenia (ukončených aj nových) </w:t>
            </w:r>
            <w:r w:rsidRPr="6D2332B4" w:rsidR="427C80D4">
              <w:rPr>
                <w:rFonts w:ascii="Calibri" w:hAnsi="Calibri" w:eastAsia="Times New Roman" w:cs="Calibri"/>
                <w:color w:val="000000" w:themeColor="text1"/>
                <w:sz w:val="20"/>
                <w:szCs w:val="20"/>
              </w:rPr>
              <w:t>teda vždy zodpovedá celkovej hodnote zmluvy.</w:t>
            </w:r>
          </w:p>
        </w:tc>
      </w:tr>
    </w:tbl>
    <w:p w:rsidRPr="003E5970" w:rsidR="009F06B3" w:rsidP="008355BB" w:rsidRDefault="009F06B3" w14:paraId="190A6A15" w14:textId="07186AAE">
      <w:pPr>
        <w:rPr>
          <w:rFonts w:ascii="Calibri" w:hAnsi="Calibri" w:eastAsia="Times New Roman" w:cs="Calibri"/>
          <w:color w:val="000000"/>
          <w:sz w:val="20"/>
          <w:szCs w:val="20"/>
        </w:rPr>
        <w:sectPr w:rsidRPr="003E5970" w:rsidR="009F06B3" w:rsidSect="008355BB">
          <w:pgSz w:w="12240" w:h="15840" w:orient="portrait"/>
          <w:pgMar w:top="1440" w:right="1440" w:bottom="1440" w:left="1440" w:header="720" w:footer="720" w:gutter="0"/>
          <w:cols w:space="720"/>
          <w:docGrid w:linePitch="360"/>
        </w:sectPr>
      </w:pPr>
    </w:p>
    <w:p w:rsidRPr="003E5970" w:rsidR="008355BB" w:rsidP="00712F3A" w:rsidRDefault="008355BB" w14:paraId="72727FFD" w14:textId="790431EA">
      <w:pPr>
        <w:pStyle w:val="Nadpis1"/>
      </w:pPr>
      <w:r w:rsidRPr="003E5970">
        <w:lastRenderedPageBreak/>
        <w:t xml:space="preserve">Business </w:t>
      </w:r>
      <w:proofErr w:type="spellStart"/>
      <w:r w:rsidRPr="003E5970">
        <w:t>workflow</w:t>
      </w:r>
      <w:proofErr w:type="spellEnd"/>
    </w:p>
    <w:tbl>
      <w:tblPr>
        <w:tblW w:w="9000" w:type="dxa"/>
        <w:tblBorders>
          <w:top w:val="outset" w:color="auto" w:sz="6" w:space="0"/>
          <w:left w:val="outset" w:color="auto" w:sz="6" w:space="0"/>
          <w:bottom w:val="outset" w:color="auto" w:sz="6" w:space="0"/>
          <w:right w:val="outset" w:color="auto" w:sz="6" w:space="0"/>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Pr="00BB787F" w:rsidR="009650F2" w:rsidTr="2C1E4529" w14:paraId="7A57F32C" w14:textId="77777777">
        <w:tc>
          <w:tcPr>
            <w:tcW w:w="135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BB787F" w:rsidR="009650F2" w:rsidP="000D1D33" w:rsidRDefault="009650F2" w14:paraId="27D3D094"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Rola : </w:t>
            </w:r>
          </w:p>
        </w:tc>
        <w:tc>
          <w:tcPr>
            <w:tcW w:w="2460" w:type="dxa"/>
            <w:tcBorders>
              <w:top w:val="single" w:color="auto" w:sz="6" w:space="0"/>
              <w:left w:val="nil"/>
              <w:bottom w:val="single" w:color="auto" w:sz="6" w:space="0"/>
              <w:right w:val="single" w:color="auto" w:sz="6" w:space="0"/>
            </w:tcBorders>
            <w:shd w:val="clear" w:color="auto" w:fill="FFFFFF" w:themeFill="background1"/>
            <w:hideMark/>
          </w:tcPr>
          <w:p w:rsidRPr="00BB787F" w:rsidR="009650F2" w:rsidP="000D1D33" w:rsidRDefault="009650F2" w14:paraId="03F586C0" w14:textId="28FEE715">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M21.</w:t>
            </w:r>
            <w:r w:rsidR="00446492">
              <w:rPr>
                <w:rFonts w:ascii="Segoe UI" w:hAnsi="Segoe UI" w:eastAsia="Times New Roman" w:cs="Segoe UI"/>
                <w:b/>
                <w:bCs/>
                <w:sz w:val="18"/>
                <w:szCs w:val="18"/>
                <w:lang w:eastAsia="sk-SK"/>
              </w:rPr>
              <w:t>301</w:t>
            </w:r>
            <w:r>
              <w:rPr>
                <w:rFonts w:ascii="Segoe UI" w:hAnsi="Segoe UI" w:eastAsia="Times New Roman" w:cs="Segoe UI"/>
                <w:b/>
                <w:bCs/>
                <w:sz w:val="18"/>
                <w:szCs w:val="18"/>
                <w:lang w:eastAsia="sk-SK"/>
              </w:rPr>
              <w:t>.</w:t>
            </w:r>
          </w:p>
        </w:tc>
        <w:tc>
          <w:tcPr>
            <w:tcW w:w="5190" w:type="dxa"/>
            <w:tcBorders>
              <w:top w:val="single" w:color="auto" w:sz="6" w:space="0"/>
              <w:left w:val="nil"/>
              <w:bottom w:val="single" w:color="auto" w:sz="6" w:space="0"/>
              <w:right w:val="single" w:color="auto" w:sz="6" w:space="0"/>
            </w:tcBorders>
            <w:shd w:val="clear" w:color="auto" w:fill="FFFFFF" w:themeFill="background1"/>
            <w:hideMark/>
          </w:tcPr>
          <w:p w:rsidRPr="00BB787F" w:rsidR="009650F2" w:rsidP="000D1D33" w:rsidRDefault="198A3D0F" w14:paraId="7D3F2413" w14:textId="0B63C530">
            <w:pPr>
              <w:spacing w:after="0"/>
              <w:textAlignment w:val="baseline"/>
              <w:rPr>
                <w:rFonts w:ascii="Segoe UI" w:hAnsi="Segoe UI" w:eastAsia="Times New Roman" w:cs="Segoe UI"/>
                <w:sz w:val="18"/>
                <w:szCs w:val="18"/>
                <w:lang w:eastAsia="sk-SK"/>
              </w:rPr>
            </w:pPr>
            <w:r w:rsidRPr="2C1E4529">
              <w:rPr>
                <w:rFonts w:ascii="Segoe UI" w:hAnsi="Segoe UI" w:eastAsia="Times New Roman" w:cs="Segoe UI"/>
                <w:sz w:val="18"/>
                <w:szCs w:val="18"/>
                <w:lang w:eastAsia="sk-SK"/>
              </w:rPr>
              <w:t xml:space="preserve">Gestor </w:t>
            </w:r>
            <w:r w:rsidRPr="2C1E4529">
              <w:rPr>
                <w:rFonts w:ascii="Segoe UI" w:hAnsi="Segoe UI" w:eastAsia="Times New Roman" w:cs="Segoe UI"/>
                <w:sz w:val="18"/>
                <w:szCs w:val="18"/>
                <w:lang w:eastAsia="sk-SK"/>
              </w:rPr>
              <w:t>zmluvy</w:t>
            </w:r>
          </w:p>
        </w:tc>
      </w:tr>
      <w:tr w:rsidRPr="00BB787F" w:rsidR="009650F2" w:rsidTr="2C1E4529" w14:paraId="228D4D86" w14:textId="77777777">
        <w:trPr>
          <w:trHeight w:val="45"/>
        </w:trPr>
        <w:tc>
          <w:tcPr>
            <w:tcW w:w="1350" w:type="dxa"/>
            <w:tcBorders>
              <w:top w:val="nil"/>
              <w:left w:val="single" w:color="auto" w:sz="6" w:space="0"/>
              <w:bottom w:val="single" w:color="auto" w:sz="6" w:space="0"/>
              <w:right w:val="single" w:color="auto" w:sz="6" w:space="0"/>
            </w:tcBorders>
            <w:shd w:val="clear" w:color="auto" w:fill="FFFFFF" w:themeFill="background1"/>
            <w:hideMark/>
          </w:tcPr>
          <w:p w:rsidRPr="00BB787F" w:rsidR="009650F2" w:rsidP="000D1D33" w:rsidRDefault="009650F2" w14:paraId="1B18CC02"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Aktivita : </w:t>
            </w:r>
          </w:p>
        </w:tc>
        <w:tc>
          <w:tcPr>
            <w:tcW w:w="2460" w:type="dxa"/>
            <w:tcBorders>
              <w:top w:val="nil"/>
              <w:left w:val="nil"/>
              <w:bottom w:val="single" w:color="auto" w:sz="6" w:space="0"/>
              <w:right w:val="single" w:color="auto" w:sz="6" w:space="0"/>
            </w:tcBorders>
            <w:shd w:val="clear" w:color="auto" w:fill="FFFFFF" w:themeFill="background1"/>
            <w:hideMark/>
          </w:tcPr>
          <w:p w:rsidRPr="00BB787F" w:rsidR="009650F2" w:rsidP="000D1D33" w:rsidRDefault="4910C43D" w14:paraId="2157274B" w14:textId="21D7A5CD">
            <w:pPr>
              <w:spacing w:after="0"/>
              <w:textAlignment w:val="baseline"/>
              <w:rPr>
                <w:rFonts w:ascii="Segoe UI" w:hAnsi="Segoe UI" w:eastAsia="Times New Roman" w:cs="Segoe UI"/>
                <w:sz w:val="18"/>
                <w:szCs w:val="18"/>
                <w:lang w:eastAsia="sk-SK"/>
              </w:rPr>
            </w:pPr>
            <w:r w:rsidRPr="2C1E4529">
              <w:rPr>
                <w:rFonts w:ascii="Segoe UI" w:hAnsi="Segoe UI" w:eastAsia="Times New Roman" w:cs="Segoe UI"/>
                <w:sz w:val="18"/>
                <w:szCs w:val="18"/>
                <w:lang w:eastAsia="sk-SK"/>
              </w:rPr>
              <w:t>M21.</w:t>
            </w:r>
            <w:r w:rsidRPr="2C1E4529" w:rsidR="198A3D0F">
              <w:rPr>
                <w:rFonts w:ascii="Segoe UI" w:hAnsi="Segoe UI" w:eastAsia="Times New Roman" w:cs="Segoe UI"/>
                <w:sz w:val="18"/>
                <w:szCs w:val="18"/>
                <w:lang w:eastAsia="sk-SK"/>
              </w:rPr>
              <w:t>301</w:t>
            </w:r>
            <w:r w:rsidRPr="2C1E4529">
              <w:rPr>
                <w:rFonts w:ascii="Segoe UI" w:hAnsi="Segoe UI" w:eastAsia="Times New Roman" w:cs="Segoe UI"/>
                <w:sz w:val="18"/>
                <w:szCs w:val="18"/>
                <w:lang w:eastAsia="sk-SK"/>
              </w:rPr>
              <w:t>.0.00001</w:t>
            </w:r>
            <w:r w:rsidRPr="2C1E4529">
              <w:rPr>
                <w:rFonts w:ascii="Segoe UI" w:hAnsi="Segoe UI" w:eastAsia="Times New Roman" w:cs="Segoe UI"/>
                <w:sz w:val="18"/>
                <w:szCs w:val="18"/>
                <w:lang w:eastAsia="sk-SK"/>
              </w:rPr>
              <w:t>.</w:t>
            </w:r>
          </w:p>
        </w:tc>
        <w:tc>
          <w:tcPr>
            <w:tcW w:w="5190" w:type="dxa"/>
            <w:tcBorders>
              <w:top w:val="nil"/>
              <w:left w:val="nil"/>
              <w:bottom w:val="single" w:color="auto" w:sz="6" w:space="0"/>
              <w:right w:val="single" w:color="auto" w:sz="6" w:space="0"/>
            </w:tcBorders>
            <w:shd w:val="clear" w:color="auto" w:fill="FFFFFF" w:themeFill="background1"/>
            <w:hideMark/>
          </w:tcPr>
          <w:p w:rsidRPr="00BB787F" w:rsidR="009650F2" w:rsidP="000D1D33" w:rsidRDefault="198A3D0F" w14:paraId="278B356D" w14:textId="0D90711F">
            <w:pPr>
              <w:spacing w:after="0"/>
              <w:textAlignment w:val="baseline"/>
              <w:rPr>
                <w:rFonts w:ascii="Segoe UI" w:hAnsi="Segoe UI" w:eastAsia="Times New Roman" w:cs="Segoe UI"/>
                <w:sz w:val="18"/>
                <w:szCs w:val="18"/>
                <w:lang w:eastAsia="sk-SK"/>
              </w:rPr>
            </w:pPr>
            <w:r w:rsidRPr="2C1E4529">
              <w:rPr>
                <w:rFonts w:ascii="Segoe UI" w:hAnsi="Segoe UI" w:eastAsia="Times New Roman" w:cs="Segoe UI"/>
                <w:sz w:val="18"/>
                <w:szCs w:val="18"/>
                <w:lang w:eastAsia="sk-SK"/>
              </w:rPr>
              <w:t xml:space="preserve">Výber zmluvy </w:t>
            </w:r>
            <w:r w:rsidRPr="2C1E4529">
              <w:rPr>
                <w:rFonts w:ascii="Segoe UI" w:hAnsi="Segoe UI" w:eastAsia="Times New Roman" w:cs="Segoe UI"/>
                <w:sz w:val="18"/>
                <w:szCs w:val="18"/>
                <w:lang w:eastAsia="sk-SK"/>
              </w:rPr>
              <w:t>na</w:t>
            </w:r>
            <w:r w:rsidRPr="2C1E4529">
              <w:rPr>
                <w:rFonts w:ascii="Segoe UI" w:hAnsi="Segoe UI" w:eastAsia="Times New Roman" w:cs="Segoe UI"/>
                <w:sz w:val="18"/>
                <w:szCs w:val="18"/>
                <w:lang w:eastAsia="sk-SK"/>
              </w:rPr>
              <w:t xml:space="preserve"> spracovanie</w:t>
            </w:r>
          </w:p>
        </w:tc>
      </w:tr>
      <w:tr w:rsidRPr="00BB787F" w:rsidR="009650F2" w:rsidTr="2C1E4529" w14:paraId="7342202E" w14:textId="77777777">
        <w:tc>
          <w:tcPr>
            <w:tcW w:w="1350" w:type="dxa"/>
            <w:tcBorders>
              <w:top w:val="nil"/>
              <w:left w:val="single" w:color="auto" w:sz="6" w:space="0"/>
              <w:bottom w:val="single" w:color="auto" w:sz="6" w:space="0"/>
              <w:right w:val="single" w:color="auto" w:sz="6" w:space="0"/>
            </w:tcBorders>
            <w:shd w:val="clear" w:color="auto" w:fill="FFFFFF" w:themeFill="background1"/>
            <w:hideMark/>
          </w:tcPr>
          <w:p w:rsidRPr="00BB787F" w:rsidR="009650F2" w:rsidP="000D1D33" w:rsidRDefault="009650F2" w14:paraId="21E3C6A1"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Transakcia : </w:t>
            </w:r>
          </w:p>
        </w:tc>
        <w:tc>
          <w:tcPr>
            <w:tcW w:w="2460" w:type="dxa"/>
            <w:tcBorders>
              <w:top w:val="nil"/>
              <w:left w:val="nil"/>
              <w:bottom w:val="single" w:color="auto" w:sz="6" w:space="0"/>
              <w:right w:val="single" w:color="auto" w:sz="6" w:space="0"/>
            </w:tcBorders>
            <w:shd w:val="clear" w:color="auto" w:fill="FFFFFF" w:themeFill="background1"/>
            <w:hideMark/>
          </w:tcPr>
          <w:p w:rsidRPr="00BB787F" w:rsidR="009650F2" w:rsidP="000D1D33" w:rsidRDefault="009650F2" w14:paraId="3A47C3C3" w14:textId="440ADB53">
            <w:pPr>
              <w:spacing w:after="0"/>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/TCCEZ/</w:t>
            </w:r>
            <w:r w:rsidR="002E1E90">
              <w:rPr>
                <w:rFonts w:ascii="Segoe UI" w:hAnsi="Segoe UI" w:eastAsia="Times New Roman" w:cs="Segoe UI"/>
                <w:sz w:val="18"/>
                <w:szCs w:val="18"/>
                <w:lang w:eastAsia="sk-SK"/>
              </w:rPr>
              <w:t>CP1</w:t>
            </w:r>
          </w:p>
        </w:tc>
        <w:tc>
          <w:tcPr>
            <w:tcW w:w="5190" w:type="dxa"/>
            <w:tcBorders>
              <w:top w:val="nil"/>
              <w:left w:val="nil"/>
              <w:bottom w:val="single" w:color="auto" w:sz="6" w:space="0"/>
              <w:right w:val="single" w:color="auto" w:sz="6" w:space="0"/>
            </w:tcBorders>
            <w:shd w:val="clear" w:color="auto" w:fill="FFFFFF" w:themeFill="background1"/>
            <w:hideMark/>
          </w:tcPr>
          <w:p w:rsidRPr="00BB787F" w:rsidR="009650F2" w:rsidP="000D1D33" w:rsidRDefault="002E1E90" w14:paraId="6E2DEF4C" w14:textId="2C2CA5E8">
            <w:pPr>
              <w:spacing w:after="0"/>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Zmena OP zmluvy</w:t>
            </w:r>
          </w:p>
        </w:tc>
      </w:tr>
    </w:tbl>
    <w:p w:rsidR="00F2254C" w:rsidP="00F2254C" w:rsidRDefault="002E1E90" w14:paraId="2E5E3C0B" w14:textId="7253FB57">
      <w:pPr>
        <w:keepNext/>
      </w:pPr>
      <w:r>
        <w:rPr>
          <w:noProof/>
        </w:rPr>
        <w:drawing>
          <wp:inline distT="0" distB="0" distL="0" distR="0" wp14:anchorId="1ADE2B8C" wp14:editId="583965E9">
            <wp:extent cx="7105650" cy="2533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05650" cy="2533650"/>
                    </a:xfrm>
                    <a:prstGeom prst="rect">
                      <a:avLst/>
                    </a:prstGeom>
                  </pic:spPr>
                </pic:pic>
              </a:graphicData>
            </a:graphic>
          </wp:inline>
        </w:drawing>
      </w:r>
    </w:p>
    <w:p w:rsidR="00BC2CDC" w:rsidP="00F2254C" w:rsidRDefault="00F2254C" w14:paraId="30FBC3FD" w14:textId="099A9125">
      <w:pPr>
        <w:pStyle w:val="Popis"/>
      </w:pPr>
      <w:r>
        <w:t xml:space="preserve">Obrázok </w:t>
      </w:r>
      <w:r>
        <w:fldChar w:fldCharType="begin"/>
      </w:r>
      <w:r>
        <w:instrText xml:space="preserve"> SEQ Obrázok \* ARABIC </w:instrText>
      </w:r>
      <w:r>
        <w:fldChar w:fldCharType="separate"/>
      </w:r>
      <w:r w:rsidR="00150005">
        <w:rPr>
          <w:noProof/>
        </w:rPr>
        <w:t>3</w:t>
      </w:r>
      <w:r>
        <w:fldChar w:fldCharType="end"/>
      </w:r>
      <w:r>
        <w:t xml:space="preserve"> – </w:t>
      </w:r>
      <w:r w:rsidR="002E1E90">
        <w:t>Zadanie čísla zmluvy pre delimitáciu</w:t>
      </w:r>
    </w:p>
    <w:p w:rsidR="0084550A" w:rsidRDefault="0084550A" w14:paraId="44DD14BF" w14:textId="7071C265">
      <w:pPr>
        <w:ind w:left="720" w:hanging="720"/>
      </w:pPr>
      <w:r>
        <w:br w:type="page"/>
      </w:r>
    </w:p>
    <w:tbl>
      <w:tblPr>
        <w:tblW w:w="9000" w:type="dxa"/>
        <w:tblBorders>
          <w:top w:val="outset" w:color="auto" w:sz="6" w:space="0"/>
          <w:left w:val="outset" w:color="auto" w:sz="6" w:space="0"/>
          <w:bottom w:val="outset" w:color="auto" w:sz="6" w:space="0"/>
          <w:right w:val="outset" w:color="auto" w:sz="6" w:space="0"/>
        </w:tblBorders>
        <w:shd w:val="clear" w:color="auto" w:fill="FFFFFF" w:themeFill="background1"/>
        <w:tblCellMar>
          <w:left w:w="0" w:type="dxa"/>
          <w:right w:w="0" w:type="dxa"/>
        </w:tblCellMar>
        <w:tblLook w:val="04A0" w:firstRow="1" w:lastRow="0" w:firstColumn="1" w:lastColumn="0" w:noHBand="0" w:noVBand="1"/>
      </w:tblPr>
      <w:tblGrid>
        <w:gridCol w:w="1350"/>
        <w:gridCol w:w="2460"/>
        <w:gridCol w:w="5190"/>
      </w:tblGrid>
      <w:tr w:rsidRPr="00BB787F" w:rsidR="0084550A" w:rsidTr="2C1E4529" w14:paraId="65A745FC" w14:textId="77777777">
        <w:tc>
          <w:tcPr>
            <w:tcW w:w="135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BB787F" w:rsidR="0084550A" w:rsidP="000D1D33" w:rsidRDefault="0084550A" w14:paraId="4B530F86"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lastRenderedPageBreak/>
              <w:t xml:space="preserve">Rola : </w:t>
            </w:r>
          </w:p>
        </w:tc>
        <w:tc>
          <w:tcPr>
            <w:tcW w:w="2460" w:type="dxa"/>
            <w:tcBorders>
              <w:top w:val="single" w:color="auto" w:sz="6" w:space="0"/>
              <w:left w:val="nil"/>
              <w:bottom w:val="single" w:color="auto" w:sz="6" w:space="0"/>
              <w:right w:val="single" w:color="auto" w:sz="6" w:space="0"/>
            </w:tcBorders>
            <w:shd w:val="clear" w:color="auto" w:fill="FFFFFF" w:themeFill="background1"/>
            <w:hideMark/>
          </w:tcPr>
          <w:p w:rsidRPr="00BB787F" w:rsidR="0084550A" w:rsidP="000D1D33" w:rsidRDefault="0084550A" w14:paraId="4C87626B"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M21.301.</w:t>
            </w:r>
          </w:p>
        </w:tc>
        <w:tc>
          <w:tcPr>
            <w:tcW w:w="5190" w:type="dxa"/>
            <w:tcBorders>
              <w:top w:val="single" w:color="auto" w:sz="6" w:space="0"/>
              <w:left w:val="nil"/>
              <w:bottom w:val="single" w:color="auto" w:sz="6" w:space="0"/>
              <w:right w:val="single" w:color="auto" w:sz="6" w:space="0"/>
            </w:tcBorders>
            <w:shd w:val="clear" w:color="auto" w:fill="FFFFFF" w:themeFill="background1"/>
            <w:hideMark/>
          </w:tcPr>
          <w:p w:rsidRPr="00BB787F" w:rsidR="0084550A" w:rsidP="000D1D33" w:rsidRDefault="0084550A" w14:paraId="00D77B71" w14:textId="6672A684">
            <w:pPr>
              <w:spacing w:after="0"/>
              <w:textAlignment w:val="baseline"/>
              <w:rPr>
                <w:rFonts w:ascii="Segoe UI" w:hAnsi="Segoe UI" w:eastAsia="Times New Roman" w:cs="Segoe UI"/>
                <w:sz w:val="18"/>
                <w:szCs w:val="18"/>
                <w:lang w:eastAsia="sk-SK"/>
              </w:rPr>
            </w:pPr>
            <w:r w:rsidRPr="2C1E4529">
              <w:rPr>
                <w:rFonts w:ascii="Segoe UI" w:hAnsi="Segoe UI" w:eastAsia="Times New Roman" w:cs="Segoe UI"/>
                <w:sz w:val="18"/>
                <w:szCs w:val="18"/>
                <w:lang w:eastAsia="sk-SK"/>
              </w:rPr>
              <w:t xml:space="preserve">Gestor </w:t>
            </w:r>
            <w:r w:rsidRPr="2C1E4529">
              <w:rPr>
                <w:rFonts w:ascii="Segoe UI" w:hAnsi="Segoe UI" w:eastAsia="Times New Roman" w:cs="Segoe UI"/>
                <w:sz w:val="18"/>
                <w:szCs w:val="18"/>
                <w:lang w:eastAsia="sk-SK"/>
              </w:rPr>
              <w:t>zmluvy</w:t>
            </w:r>
          </w:p>
        </w:tc>
      </w:tr>
      <w:tr w:rsidRPr="00BB787F" w:rsidR="0084550A" w:rsidTr="2C1E4529" w14:paraId="776EE95B" w14:textId="77777777">
        <w:trPr>
          <w:trHeight w:val="45"/>
        </w:trPr>
        <w:tc>
          <w:tcPr>
            <w:tcW w:w="1350" w:type="dxa"/>
            <w:tcBorders>
              <w:top w:val="nil"/>
              <w:left w:val="single" w:color="auto" w:sz="6" w:space="0"/>
              <w:bottom w:val="single" w:color="auto" w:sz="6" w:space="0"/>
              <w:right w:val="single" w:color="auto" w:sz="6" w:space="0"/>
            </w:tcBorders>
            <w:shd w:val="clear" w:color="auto" w:fill="FFFFFF" w:themeFill="background1"/>
            <w:hideMark/>
          </w:tcPr>
          <w:p w:rsidRPr="00BB787F" w:rsidR="0084550A" w:rsidP="000D1D33" w:rsidRDefault="0084550A" w14:paraId="5D34CDA1"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Aktivita : </w:t>
            </w:r>
          </w:p>
        </w:tc>
        <w:tc>
          <w:tcPr>
            <w:tcW w:w="2460" w:type="dxa"/>
            <w:tcBorders>
              <w:top w:val="nil"/>
              <w:left w:val="nil"/>
              <w:bottom w:val="single" w:color="auto" w:sz="6" w:space="0"/>
              <w:right w:val="single" w:color="auto" w:sz="6" w:space="0"/>
            </w:tcBorders>
            <w:shd w:val="clear" w:color="auto" w:fill="FFFFFF" w:themeFill="background1"/>
            <w:hideMark/>
          </w:tcPr>
          <w:p w:rsidRPr="00BB787F" w:rsidR="0084550A" w:rsidP="000D1D33" w:rsidRDefault="0084550A" w14:paraId="4DC1932C" w14:textId="251965D1">
            <w:pPr>
              <w:spacing w:after="0"/>
              <w:textAlignment w:val="baseline"/>
              <w:rPr>
                <w:rFonts w:ascii="Segoe UI" w:hAnsi="Segoe UI" w:eastAsia="Times New Roman" w:cs="Segoe UI"/>
                <w:sz w:val="18"/>
                <w:szCs w:val="18"/>
                <w:lang w:eastAsia="sk-SK"/>
              </w:rPr>
            </w:pPr>
            <w:r w:rsidRPr="2C1E4529">
              <w:rPr>
                <w:rFonts w:ascii="Segoe UI" w:hAnsi="Segoe UI" w:eastAsia="Times New Roman" w:cs="Segoe UI"/>
                <w:sz w:val="18"/>
                <w:szCs w:val="18"/>
                <w:lang w:eastAsia="sk-SK"/>
              </w:rPr>
              <w:t>M21.301.0.00002</w:t>
            </w:r>
            <w:r w:rsidRPr="2C1E4529">
              <w:rPr>
                <w:rFonts w:ascii="Segoe UI" w:hAnsi="Segoe UI" w:eastAsia="Times New Roman" w:cs="Segoe UI"/>
                <w:sz w:val="18"/>
                <w:szCs w:val="18"/>
                <w:lang w:eastAsia="sk-SK"/>
              </w:rPr>
              <w:t>.</w:t>
            </w:r>
          </w:p>
        </w:tc>
        <w:tc>
          <w:tcPr>
            <w:tcW w:w="5190" w:type="dxa"/>
            <w:tcBorders>
              <w:top w:val="nil"/>
              <w:left w:val="nil"/>
              <w:bottom w:val="single" w:color="auto" w:sz="6" w:space="0"/>
              <w:right w:val="single" w:color="auto" w:sz="6" w:space="0"/>
            </w:tcBorders>
            <w:shd w:val="clear" w:color="auto" w:fill="FFFFFF" w:themeFill="background1"/>
            <w:hideMark/>
          </w:tcPr>
          <w:p w:rsidRPr="00BB787F" w:rsidR="0084550A" w:rsidP="000D1D33" w:rsidRDefault="0084550A" w14:paraId="1637D83A" w14:textId="674B3F63">
            <w:pPr>
              <w:spacing w:after="0"/>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Zadanie nového partnera zmluvy</w:t>
            </w:r>
          </w:p>
        </w:tc>
      </w:tr>
      <w:tr w:rsidRPr="00BB787F" w:rsidR="0084550A" w:rsidTr="2C1E4529" w14:paraId="0FCBD6DC" w14:textId="77777777">
        <w:tc>
          <w:tcPr>
            <w:tcW w:w="1350" w:type="dxa"/>
            <w:tcBorders>
              <w:top w:val="nil"/>
              <w:left w:val="single" w:color="auto" w:sz="6" w:space="0"/>
              <w:bottom w:val="single" w:color="auto" w:sz="6" w:space="0"/>
              <w:right w:val="single" w:color="auto" w:sz="6" w:space="0"/>
            </w:tcBorders>
            <w:shd w:val="clear" w:color="auto" w:fill="FFFFFF" w:themeFill="background1"/>
            <w:hideMark/>
          </w:tcPr>
          <w:p w:rsidRPr="00BB787F" w:rsidR="0084550A" w:rsidP="000D1D33" w:rsidRDefault="0084550A" w14:paraId="74FB426A" w14:textId="77777777">
            <w:pPr>
              <w:spacing w:after="0"/>
              <w:textAlignment w:val="baseline"/>
              <w:rPr>
                <w:rFonts w:ascii="Segoe UI" w:hAnsi="Segoe UI" w:eastAsia="Times New Roman" w:cs="Segoe UI"/>
                <w:b/>
                <w:bCs/>
                <w:sz w:val="18"/>
                <w:szCs w:val="18"/>
                <w:lang w:eastAsia="sk-SK"/>
              </w:rPr>
            </w:pPr>
            <w:r>
              <w:rPr>
                <w:rFonts w:ascii="Segoe UI" w:hAnsi="Segoe UI" w:eastAsia="Times New Roman" w:cs="Segoe UI"/>
                <w:b/>
                <w:bCs/>
                <w:sz w:val="18"/>
                <w:szCs w:val="18"/>
                <w:lang w:eastAsia="sk-SK"/>
              </w:rPr>
              <w:t xml:space="preserve">Transakcia : </w:t>
            </w:r>
          </w:p>
        </w:tc>
        <w:tc>
          <w:tcPr>
            <w:tcW w:w="2460" w:type="dxa"/>
            <w:tcBorders>
              <w:top w:val="nil"/>
              <w:left w:val="nil"/>
              <w:bottom w:val="single" w:color="auto" w:sz="6" w:space="0"/>
              <w:right w:val="single" w:color="auto" w:sz="6" w:space="0"/>
            </w:tcBorders>
            <w:shd w:val="clear" w:color="auto" w:fill="FFFFFF" w:themeFill="background1"/>
            <w:hideMark/>
          </w:tcPr>
          <w:p w:rsidRPr="00BB787F" w:rsidR="0084550A" w:rsidP="000D1D33" w:rsidRDefault="0084550A" w14:paraId="662FCE2C" w14:textId="77777777">
            <w:pPr>
              <w:spacing w:after="0"/>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/TCCEZ/CP1</w:t>
            </w:r>
          </w:p>
        </w:tc>
        <w:tc>
          <w:tcPr>
            <w:tcW w:w="5190" w:type="dxa"/>
            <w:tcBorders>
              <w:top w:val="nil"/>
              <w:left w:val="nil"/>
              <w:bottom w:val="single" w:color="auto" w:sz="6" w:space="0"/>
              <w:right w:val="single" w:color="auto" w:sz="6" w:space="0"/>
            </w:tcBorders>
            <w:shd w:val="clear" w:color="auto" w:fill="FFFFFF" w:themeFill="background1"/>
            <w:hideMark/>
          </w:tcPr>
          <w:p w:rsidRPr="00BB787F" w:rsidR="0084550A" w:rsidP="000D1D33" w:rsidRDefault="0084550A" w14:paraId="53055CF4" w14:textId="77777777">
            <w:pPr>
              <w:spacing w:after="0"/>
              <w:textAlignment w:val="baseline"/>
              <w:rPr>
                <w:rFonts w:ascii="Segoe UI" w:hAnsi="Segoe UI" w:eastAsia="Times New Roman" w:cs="Segoe UI"/>
                <w:sz w:val="18"/>
                <w:szCs w:val="18"/>
                <w:lang w:eastAsia="sk-SK"/>
              </w:rPr>
            </w:pPr>
            <w:r>
              <w:rPr>
                <w:rFonts w:ascii="Segoe UI" w:hAnsi="Segoe UI" w:eastAsia="Times New Roman" w:cs="Segoe UI"/>
                <w:sz w:val="18"/>
                <w:szCs w:val="18"/>
                <w:lang w:eastAsia="sk-SK"/>
              </w:rPr>
              <w:t>Zmena OP zmluvy</w:t>
            </w:r>
          </w:p>
        </w:tc>
      </w:tr>
    </w:tbl>
    <w:p w:rsidR="00150005" w:rsidP="00150005" w:rsidRDefault="0084550A" w14:paraId="6916B154" w14:textId="77777777">
      <w:pPr>
        <w:keepNext/>
      </w:pPr>
      <w:r>
        <w:rPr>
          <w:noProof/>
        </w:rPr>
        <w:drawing>
          <wp:inline distT="0" distB="0" distL="0" distR="0" wp14:anchorId="07B4A53A" wp14:editId="6E661D28">
            <wp:extent cx="8229600" cy="38011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3801110"/>
                    </a:xfrm>
                    <a:prstGeom prst="rect">
                      <a:avLst/>
                    </a:prstGeom>
                  </pic:spPr>
                </pic:pic>
              </a:graphicData>
            </a:graphic>
          </wp:inline>
        </w:drawing>
      </w:r>
    </w:p>
    <w:p w:rsidR="0084550A" w:rsidP="00150005" w:rsidRDefault="00150005" w14:paraId="573B82D1" w14:textId="5AD8AB2C">
      <w:pPr>
        <w:pStyle w:val="Popis"/>
      </w:pPr>
      <w:r>
        <w:t xml:space="preserve">Obrázok </w:t>
      </w:r>
      <w:r>
        <w:fldChar w:fldCharType="begin"/>
      </w:r>
      <w:r>
        <w:instrText xml:space="preserve"> SEQ Obrázok \* ARABIC </w:instrText>
      </w:r>
      <w:r>
        <w:fldChar w:fldCharType="separate"/>
      </w:r>
      <w:r>
        <w:rPr>
          <w:noProof/>
        </w:rPr>
        <w:t>4</w:t>
      </w:r>
      <w:r>
        <w:fldChar w:fldCharType="end"/>
      </w:r>
      <w:r>
        <w:t xml:space="preserve"> - Zadanie nového OP zmluvy</w:t>
      </w:r>
    </w:p>
    <w:p w:rsidR="00242793" w:rsidRDefault="00242793" w14:paraId="75157E0E" w14:textId="09D871EF">
      <w:pPr>
        <w:ind w:left="720" w:hanging="720"/>
        <w:rPr>
          <w:noProof/>
        </w:rPr>
      </w:pPr>
    </w:p>
    <w:p w:rsidRPr="003E5970" w:rsidR="007C6070" w:rsidP="008978C6" w:rsidRDefault="007C6070" w14:paraId="0E08D050" w14:textId="77777777">
      <w:pPr>
        <w:tabs>
          <w:tab w:val="left" w:pos="5820"/>
        </w:tabs>
      </w:pPr>
    </w:p>
    <w:p w:rsidRPr="003E5970" w:rsidR="007C6070" w:rsidP="008978C6" w:rsidRDefault="007C6070" w14:paraId="2028B8F5" w14:textId="67A3B2A2">
      <w:pPr>
        <w:tabs>
          <w:tab w:val="left" w:pos="5820"/>
        </w:tabs>
        <w:sectPr w:rsidRPr="003E5970" w:rsidR="007C6070" w:rsidSect="00A22746">
          <w:pgSz w:w="15840" w:h="12240" w:orient="landscape"/>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2154"/>
        <w:gridCol w:w="1081"/>
        <w:gridCol w:w="1081"/>
        <w:gridCol w:w="2338"/>
        <w:gridCol w:w="1260"/>
        <w:gridCol w:w="1436"/>
      </w:tblGrid>
      <w:tr w:rsidRPr="00A31609" w:rsidR="00EF2518" w:rsidTr="2C1E4529" w14:paraId="256FE859" w14:textId="77777777">
        <w:trPr>
          <w:trHeight w:val="295"/>
        </w:trPr>
        <w:tc>
          <w:tcPr>
            <w:tcW w:w="1152" w:type="pct"/>
            <w:tcBorders>
              <w:top w:val="single" w:color="auto" w:sz="4" w:space="0"/>
              <w:left w:val="single" w:color="auto" w:sz="4" w:space="0"/>
              <w:bottom w:val="single" w:color="auto" w:sz="4" w:space="0"/>
              <w:right w:val="single" w:color="auto" w:sz="4" w:space="0"/>
            </w:tcBorders>
            <w:shd w:val="clear" w:color="auto" w:fill="auto"/>
            <w:noWrap/>
            <w:hideMark/>
          </w:tcPr>
          <w:p w:rsidRPr="00A31609" w:rsidR="00EF2518" w:rsidP="003E473F" w:rsidRDefault="00EF2518" w14:paraId="6FD67DEB" w14:textId="77777777">
            <w:pPr>
              <w:spacing w:after="0"/>
              <w:rPr>
                <w:rFonts w:ascii="Calibri" w:hAnsi="Calibri" w:eastAsia="Times New Roman" w:cs="Calibri"/>
                <w:color w:val="000000"/>
                <w:sz w:val="20"/>
                <w:szCs w:val="20"/>
              </w:rPr>
            </w:pPr>
            <w:bookmarkStart w:name="OLE_LINK1" w:id="0"/>
            <w:r w:rsidRPr="00A31609">
              <w:rPr>
                <w:rFonts w:ascii="Calibri" w:hAnsi="Calibri" w:eastAsia="Times New Roman" w:cs="Calibri"/>
                <w:color w:val="000000"/>
                <w:sz w:val="20"/>
                <w:szCs w:val="20"/>
                <w:lang w:val="en-US"/>
              </w:rPr>
              <w:lastRenderedPageBreak/>
              <w:t> ZOZNAM POL</w:t>
            </w:r>
            <w:r w:rsidRPr="00A31609">
              <w:rPr>
                <w:rFonts w:ascii="Calibri" w:hAnsi="Calibri" w:eastAsia="Times New Roman" w:cs="Calibri"/>
                <w:color w:val="000000"/>
                <w:sz w:val="20"/>
                <w:szCs w:val="20"/>
              </w:rPr>
              <w:t>Í</w:t>
            </w:r>
          </w:p>
        </w:tc>
        <w:tc>
          <w:tcPr>
            <w:tcW w:w="57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12A9A3E0" w14:textId="77777777">
            <w:pPr>
              <w:spacing w:after="0"/>
              <w:rPr>
                <w:rFonts w:ascii="Calibri" w:hAnsi="Calibri" w:eastAsia="Times New Roman" w:cs="Calibri"/>
                <w:color w:val="000000"/>
                <w:sz w:val="20"/>
                <w:szCs w:val="20"/>
              </w:rPr>
            </w:pPr>
            <w:r w:rsidRPr="00A31609">
              <w:rPr>
                <w:rFonts w:ascii="Calibri" w:hAnsi="Calibri" w:eastAsia="Times New Roman" w:cs="Calibri"/>
                <w:color w:val="000000"/>
                <w:sz w:val="20"/>
                <w:szCs w:val="20"/>
                <w:lang w:val="en-US"/>
              </w:rPr>
              <w:t> VSTUP[x]</w:t>
            </w:r>
          </w:p>
        </w:tc>
        <w:tc>
          <w:tcPr>
            <w:tcW w:w="57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11007376"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V</w:t>
            </w:r>
            <w:r w:rsidRPr="00A31609">
              <w:rPr>
                <w:rFonts w:ascii="Calibri" w:hAnsi="Calibri" w:eastAsia="Times New Roman" w:cs="Calibri"/>
                <w:color w:val="000000"/>
                <w:sz w:val="20"/>
                <w:szCs w:val="20"/>
              </w:rPr>
              <w:t>Ý</w:t>
            </w:r>
            <w:r w:rsidRPr="00A31609">
              <w:rPr>
                <w:rFonts w:ascii="Calibri" w:hAnsi="Calibri" w:eastAsia="Times New Roman" w:cs="Calibri"/>
                <w:color w:val="000000"/>
                <w:sz w:val="20"/>
                <w:szCs w:val="20"/>
                <w:lang w:val="en-US"/>
              </w:rPr>
              <w:t>STUP[x] </w:t>
            </w:r>
          </w:p>
        </w:tc>
        <w:tc>
          <w:tcPr>
            <w:tcW w:w="1250"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595A3A5A" w14:textId="77777777">
            <w:pPr>
              <w:spacing w:after="0"/>
              <w:rPr>
                <w:rFonts w:ascii="Calibri" w:hAnsi="Calibri" w:eastAsia="Times New Roman" w:cs="Calibri"/>
                <w:color w:val="000000"/>
                <w:sz w:val="20"/>
                <w:szCs w:val="20"/>
              </w:rPr>
            </w:pPr>
            <w:r w:rsidRPr="00A31609">
              <w:rPr>
                <w:rFonts w:ascii="Calibri" w:hAnsi="Calibri" w:eastAsia="Times New Roman" w:cs="Calibri"/>
                <w:color w:val="000000"/>
                <w:sz w:val="20"/>
                <w:szCs w:val="20"/>
                <w:lang w:val="en-US"/>
              </w:rPr>
              <w:t> </w:t>
            </w:r>
            <w:r w:rsidRPr="00A31609">
              <w:rPr>
                <w:rFonts w:ascii="Calibri" w:hAnsi="Calibri" w:eastAsia="Times New Roman" w:cs="Calibri"/>
                <w:color w:val="000000"/>
                <w:sz w:val="20"/>
                <w:szCs w:val="20"/>
              </w:rPr>
              <w:t>ČISELNÍK[názov/</w:t>
            </w:r>
            <w:proofErr w:type="spellStart"/>
            <w:r w:rsidRPr="00A31609">
              <w:rPr>
                <w:rFonts w:ascii="Calibri" w:hAnsi="Calibri" w:eastAsia="Times New Roman" w:cs="Calibri"/>
                <w:color w:val="000000"/>
                <w:sz w:val="20"/>
                <w:szCs w:val="20"/>
              </w:rPr>
              <w:t>tab</w:t>
            </w:r>
            <w:proofErr w:type="spellEnd"/>
            <w:r w:rsidRPr="00A31609">
              <w:rPr>
                <w:rFonts w:ascii="Calibri" w:hAnsi="Calibri" w:eastAsia="Times New Roman" w:cs="Calibri"/>
                <w:color w:val="000000"/>
                <w:sz w:val="20"/>
                <w:szCs w:val="20"/>
              </w:rPr>
              <w:t>]</w:t>
            </w:r>
          </w:p>
        </w:tc>
        <w:tc>
          <w:tcPr>
            <w:tcW w:w="674"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757D6948"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M.CODE[x] </w:t>
            </w:r>
          </w:p>
        </w:tc>
        <w:tc>
          <w:tcPr>
            <w:tcW w:w="768" w:type="pct"/>
            <w:tcBorders>
              <w:top w:val="single" w:color="auto" w:sz="4" w:space="0"/>
              <w:left w:val="nil"/>
              <w:bottom w:val="single" w:color="auto" w:sz="4" w:space="0"/>
              <w:right w:val="single" w:color="auto" w:sz="4" w:space="0"/>
            </w:tcBorders>
            <w:shd w:val="clear" w:color="auto" w:fill="auto"/>
            <w:noWrap/>
            <w:hideMark/>
          </w:tcPr>
          <w:p w:rsidRPr="00A31609" w:rsidR="00EF2518" w:rsidP="003E473F" w:rsidRDefault="00EF2518" w14:paraId="673CE025" w14:textId="77777777">
            <w:pPr>
              <w:spacing w:after="0"/>
              <w:rPr>
                <w:rFonts w:ascii="Calibri" w:hAnsi="Calibri" w:eastAsia="Times New Roman" w:cs="Calibri"/>
                <w:color w:val="000000"/>
                <w:sz w:val="20"/>
                <w:szCs w:val="20"/>
                <w:lang w:val="en-US"/>
              </w:rPr>
            </w:pPr>
            <w:r w:rsidRPr="00A31609">
              <w:rPr>
                <w:rFonts w:ascii="Calibri" w:hAnsi="Calibri" w:eastAsia="Times New Roman" w:cs="Calibri"/>
                <w:color w:val="000000"/>
                <w:sz w:val="20"/>
                <w:szCs w:val="20"/>
                <w:lang w:val="en-US"/>
              </w:rPr>
              <w:t>POVINNÝ[X|D] </w:t>
            </w:r>
          </w:p>
        </w:tc>
      </w:tr>
      <w:bookmarkEnd w:id="0"/>
      <w:tr w:rsidRPr="000619CA" w:rsidR="00BF3255" w:rsidTr="2C1E4529" w14:paraId="2F8D4A19" w14:textId="77777777">
        <w:trPr>
          <w:trHeight w:val="295"/>
        </w:trPr>
        <w:tc>
          <w:tcPr>
            <w:tcW w:w="1152" w:type="pct"/>
            <w:tcBorders>
              <w:top w:val="nil"/>
              <w:left w:val="single" w:color="auto" w:sz="4" w:space="0"/>
              <w:bottom w:val="single" w:color="auto" w:sz="4" w:space="0"/>
              <w:right w:val="single" w:color="auto" w:sz="4" w:space="0"/>
            </w:tcBorders>
            <w:shd w:val="clear" w:color="auto" w:fill="auto"/>
            <w:noWrap/>
          </w:tcPr>
          <w:p w:rsidRPr="00BF3255" w:rsidR="00BF3255" w:rsidP="000D1D33" w:rsidRDefault="00BF3255" w14:paraId="09661CEA" w14:textId="77777777">
            <w:pPr>
              <w:spacing w:after="0"/>
              <w:rPr>
                <w:b/>
                <w:bCs/>
                <w:sz w:val="20"/>
                <w:szCs w:val="20"/>
              </w:rPr>
            </w:pPr>
            <w:r w:rsidRPr="00BF3255">
              <w:rPr>
                <w:b/>
                <w:bCs/>
                <w:sz w:val="20"/>
                <w:szCs w:val="20"/>
              </w:rPr>
              <w:t>Evidenčné číslo zmluvy</w:t>
            </w:r>
          </w:p>
        </w:tc>
        <w:tc>
          <w:tcPr>
            <w:tcW w:w="578" w:type="pct"/>
            <w:tcBorders>
              <w:top w:val="nil"/>
              <w:left w:val="nil"/>
              <w:bottom w:val="single" w:color="auto" w:sz="4" w:space="0"/>
              <w:right w:val="single" w:color="auto" w:sz="4" w:space="0"/>
            </w:tcBorders>
            <w:shd w:val="clear" w:color="auto" w:fill="auto"/>
            <w:noWrap/>
          </w:tcPr>
          <w:p w:rsidRPr="00BF3255" w:rsidR="00BF3255" w:rsidP="000D1D33" w:rsidRDefault="00BF3255" w14:paraId="2D7001DE" w14:textId="77777777">
            <w:pPr>
              <w:spacing w:after="0"/>
              <w:jc w:val="center"/>
              <w:rPr>
                <w:rFonts w:eastAsia="Times New Roman" w:cstheme="minorHAnsi"/>
                <w:sz w:val="20"/>
                <w:szCs w:val="20"/>
                <w:lang w:val="en-US"/>
              </w:rPr>
            </w:pPr>
            <w:r w:rsidRPr="00BF3255">
              <w:rPr>
                <w:rFonts w:eastAsia="Times New Roman" w:cstheme="minorHAnsi"/>
                <w:sz w:val="20"/>
                <w:szCs w:val="20"/>
                <w:lang w:val="en-US"/>
              </w:rPr>
              <w:t>X</w:t>
            </w:r>
          </w:p>
        </w:tc>
        <w:tc>
          <w:tcPr>
            <w:tcW w:w="578" w:type="pct"/>
            <w:tcBorders>
              <w:top w:val="nil"/>
              <w:left w:val="nil"/>
              <w:bottom w:val="single" w:color="auto" w:sz="4" w:space="0"/>
              <w:right w:val="single" w:color="auto" w:sz="4" w:space="0"/>
            </w:tcBorders>
            <w:shd w:val="clear" w:color="auto" w:fill="auto"/>
            <w:noWrap/>
          </w:tcPr>
          <w:p w:rsidRPr="00BF3255" w:rsidR="00BF3255" w:rsidP="000D1D33" w:rsidRDefault="00BF3255" w14:paraId="3D0478B7" w14:textId="77777777">
            <w:pPr>
              <w:spacing w:after="0"/>
              <w:jc w:val="center"/>
              <w:rPr>
                <w:rFonts w:eastAsia="Times New Roman" w:cstheme="minorHAnsi"/>
                <w:color w:val="000000"/>
                <w:sz w:val="20"/>
                <w:szCs w:val="20"/>
                <w:lang w:val="en-US"/>
              </w:rPr>
            </w:pPr>
            <w:r w:rsidRPr="00BF3255">
              <w:rPr>
                <w:rFonts w:eastAsia="Times New Roman" w:cstheme="minorHAnsi"/>
                <w:color w:val="000000"/>
                <w:sz w:val="20"/>
                <w:szCs w:val="20"/>
                <w:lang w:val="en-US"/>
              </w:rPr>
              <w:t>X</w:t>
            </w:r>
          </w:p>
        </w:tc>
        <w:tc>
          <w:tcPr>
            <w:tcW w:w="1250" w:type="pct"/>
            <w:tcBorders>
              <w:top w:val="nil"/>
              <w:left w:val="nil"/>
              <w:bottom w:val="single" w:color="auto" w:sz="4" w:space="0"/>
              <w:right w:val="single" w:color="auto" w:sz="4" w:space="0"/>
            </w:tcBorders>
            <w:shd w:val="clear" w:color="auto" w:fill="auto"/>
            <w:noWrap/>
          </w:tcPr>
          <w:p w:rsidRPr="00BF3255" w:rsidR="00BF3255" w:rsidP="000D1D33" w:rsidRDefault="00BF3255" w14:paraId="6F97E0DD" w14:textId="77777777">
            <w:pPr>
              <w:spacing w:after="0"/>
              <w:jc w:val="center"/>
              <w:rPr>
                <w:rFonts w:eastAsia="Times New Roman" w:cstheme="minorHAnsi"/>
                <w:color w:val="000000"/>
                <w:sz w:val="20"/>
                <w:szCs w:val="20"/>
                <w:lang w:val="en-US"/>
              </w:rPr>
            </w:pPr>
          </w:p>
        </w:tc>
        <w:tc>
          <w:tcPr>
            <w:tcW w:w="674" w:type="pct"/>
            <w:tcBorders>
              <w:top w:val="nil"/>
              <w:left w:val="nil"/>
              <w:bottom w:val="single" w:color="auto" w:sz="4" w:space="0"/>
              <w:right w:val="single" w:color="auto" w:sz="4" w:space="0"/>
            </w:tcBorders>
            <w:shd w:val="clear" w:color="auto" w:fill="auto"/>
            <w:noWrap/>
          </w:tcPr>
          <w:p w:rsidRPr="00BF3255" w:rsidR="00BF3255" w:rsidP="000D1D33" w:rsidRDefault="00BF3255" w14:paraId="309A7D11" w14:textId="77777777">
            <w:pPr>
              <w:spacing w:after="0"/>
              <w:jc w:val="center"/>
              <w:rPr>
                <w:rFonts w:eastAsia="Times New Roman" w:cstheme="minorHAnsi"/>
                <w:color w:val="000000"/>
                <w:sz w:val="20"/>
                <w:szCs w:val="20"/>
                <w:lang w:val="en-US"/>
              </w:rPr>
            </w:pPr>
            <w:r w:rsidRPr="00BF3255">
              <w:rPr>
                <w:rFonts w:eastAsia="Times New Roman" w:cstheme="minorHAnsi"/>
                <w:color w:val="000000"/>
                <w:sz w:val="20"/>
                <w:szCs w:val="20"/>
                <w:lang w:val="en-US"/>
              </w:rPr>
              <w:t>X</w:t>
            </w:r>
          </w:p>
        </w:tc>
        <w:tc>
          <w:tcPr>
            <w:tcW w:w="768" w:type="pct"/>
            <w:tcBorders>
              <w:top w:val="nil"/>
              <w:left w:val="nil"/>
              <w:bottom w:val="single" w:color="auto" w:sz="4" w:space="0"/>
              <w:right w:val="single" w:color="auto" w:sz="4" w:space="0"/>
            </w:tcBorders>
            <w:shd w:val="clear" w:color="auto" w:fill="auto"/>
            <w:noWrap/>
          </w:tcPr>
          <w:p w:rsidRPr="00BF3255" w:rsidR="00BF3255" w:rsidP="000D1D33" w:rsidRDefault="00BF3255" w14:paraId="31BCB58A" w14:textId="31C2C964">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r>
      <w:tr w:rsidRPr="000619CA" w:rsidR="00BF3255" w:rsidTr="2C1E4529" w14:paraId="1D7722AE" w14:textId="77777777">
        <w:trPr>
          <w:trHeight w:val="295"/>
        </w:trPr>
        <w:tc>
          <w:tcPr>
            <w:tcW w:w="1152" w:type="pct"/>
            <w:tcBorders>
              <w:top w:val="nil"/>
              <w:left w:val="single" w:color="auto" w:sz="4" w:space="0"/>
              <w:bottom w:val="single" w:color="auto" w:sz="4" w:space="0"/>
              <w:right w:val="single" w:color="auto" w:sz="4" w:space="0"/>
            </w:tcBorders>
            <w:shd w:val="clear" w:color="auto" w:fill="auto"/>
            <w:noWrap/>
          </w:tcPr>
          <w:p w:rsidRPr="00BF3255" w:rsidR="00BF3255" w:rsidP="000D1D33" w:rsidRDefault="00BF3255" w14:paraId="5A606830" w14:textId="77777777">
            <w:pPr>
              <w:spacing w:after="0"/>
              <w:rPr>
                <w:b/>
                <w:bCs/>
                <w:sz w:val="20"/>
                <w:szCs w:val="20"/>
              </w:rPr>
            </w:pPr>
            <w:r w:rsidRPr="00BF3255">
              <w:rPr>
                <w:b/>
                <w:bCs/>
                <w:sz w:val="20"/>
                <w:szCs w:val="20"/>
              </w:rPr>
              <w:t>Poradové číslo dodatku</w:t>
            </w:r>
          </w:p>
        </w:tc>
        <w:tc>
          <w:tcPr>
            <w:tcW w:w="578" w:type="pct"/>
            <w:tcBorders>
              <w:top w:val="nil"/>
              <w:left w:val="nil"/>
              <w:bottom w:val="single" w:color="auto" w:sz="4" w:space="0"/>
              <w:right w:val="single" w:color="auto" w:sz="4" w:space="0"/>
            </w:tcBorders>
            <w:shd w:val="clear" w:color="auto" w:fill="auto"/>
            <w:noWrap/>
          </w:tcPr>
          <w:p w:rsidRPr="00BF3255" w:rsidR="00BF3255" w:rsidP="000D1D33" w:rsidRDefault="00BF3255" w14:paraId="3F89E1BD" w14:textId="77777777">
            <w:pPr>
              <w:spacing w:after="0"/>
              <w:jc w:val="center"/>
              <w:rPr>
                <w:rFonts w:eastAsia="Times New Roman" w:cstheme="minorHAnsi"/>
                <w:sz w:val="20"/>
                <w:szCs w:val="20"/>
                <w:lang w:val="en-US"/>
              </w:rPr>
            </w:pPr>
            <w:r w:rsidRPr="00BF3255">
              <w:rPr>
                <w:rFonts w:eastAsia="Times New Roman" w:cstheme="minorHAnsi"/>
                <w:sz w:val="20"/>
                <w:szCs w:val="20"/>
                <w:lang w:val="en-US"/>
              </w:rPr>
              <w:t>X</w:t>
            </w:r>
          </w:p>
        </w:tc>
        <w:tc>
          <w:tcPr>
            <w:tcW w:w="578" w:type="pct"/>
            <w:tcBorders>
              <w:top w:val="nil"/>
              <w:left w:val="nil"/>
              <w:bottom w:val="single" w:color="auto" w:sz="4" w:space="0"/>
              <w:right w:val="single" w:color="auto" w:sz="4" w:space="0"/>
            </w:tcBorders>
            <w:shd w:val="clear" w:color="auto" w:fill="auto"/>
            <w:noWrap/>
          </w:tcPr>
          <w:p w:rsidRPr="00BF3255" w:rsidR="00BF3255" w:rsidP="000D1D33" w:rsidRDefault="00BF3255" w14:paraId="27A5E382" w14:textId="77777777">
            <w:pPr>
              <w:spacing w:after="0"/>
              <w:jc w:val="center"/>
              <w:rPr>
                <w:rFonts w:eastAsia="Times New Roman" w:cstheme="minorHAnsi"/>
                <w:color w:val="000000"/>
                <w:sz w:val="20"/>
                <w:szCs w:val="20"/>
                <w:lang w:val="en-US"/>
              </w:rPr>
            </w:pPr>
            <w:r w:rsidRPr="00BF3255">
              <w:rPr>
                <w:rFonts w:eastAsia="Times New Roman" w:cstheme="minorHAnsi"/>
                <w:color w:val="000000"/>
                <w:sz w:val="20"/>
                <w:szCs w:val="20"/>
                <w:lang w:val="en-US"/>
              </w:rPr>
              <w:t>X</w:t>
            </w:r>
          </w:p>
        </w:tc>
        <w:tc>
          <w:tcPr>
            <w:tcW w:w="1250" w:type="pct"/>
            <w:tcBorders>
              <w:top w:val="nil"/>
              <w:left w:val="nil"/>
              <w:bottom w:val="single" w:color="auto" w:sz="4" w:space="0"/>
              <w:right w:val="single" w:color="auto" w:sz="4" w:space="0"/>
            </w:tcBorders>
            <w:shd w:val="clear" w:color="auto" w:fill="auto"/>
            <w:noWrap/>
          </w:tcPr>
          <w:p w:rsidRPr="00BF3255" w:rsidR="00BF3255" w:rsidP="000D1D33" w:rsidRDefault="00BF3255" w14:paraId="2215AF85" w14:textId="77777777">
            <w:pPr>
              <w:spacing w:after="0"/>
              <w:jc w:val="center"/>
              <w:rPr>
                <w:rFonts w:eastAsia="Times New Roman" w:cstheme="minorHAnsi"/>
                <w:color w:val="000000"/>
                <w:sz w:val="20"/>
                <w:szCs w:val="20"/>
                <w:lang w:val="en-US"/>
              </w:rPr>
            </w:pPr>
          </w:p>
        </w:tc>
        <w:tc>
          <w:tcPr>
            <w:tcW w:w="674" w:type="pct"/>
            <w:tcBorders>
              <w:top w:val="nil"/>
              <w:left w:val="nil"/>
              <w:bottom w:val="single" w:color="auto" w:sz="4" w:space="0"/>
              <w:right w:val="single" w:color="auto" w:sz="4" w:space="0"/>
            </w:tcBorders>
            <w:shd w:val="clear" w:color="auto" w:fill="auto"/>
            <w:noWrap/>
          </w:tcPr>
          <w:p w:rsidRPr="00BF3255" w:rsidR="00BF3255" w:rsidP="000D1D33" w:rsidRDefault="00BF3255" w14:paraId="34FB4B1F" w14:textId="77777777">
            <w:pPr>
              <w:spacing w:after="0"/>
              <w:jc w:val="center"/>
              <w:rPr>
                <w:rFonts w:eastAsia="Times New Roman" w:cstheme="minorHAnsi"/>
                <w:color w:val="000000"/>
                <w:sz w:val="20"/>
                <w:szCs w:val="20"/>
                <w:lang w:val="en-US"/>
              </w:rPr>
            </w:pPr>
            <w:r w:rsidRPr="00BF3255">
              <w:rPr>
                <w:rFonts w:eastAsia="Times New Roman" w:cstheme="minorHAnsi"/>
                <w:color w:val="000000"/>
                <w:sz w:val="20"/>
                <w:szCs w:val="20"/>
                <w:lang w:val="en-US"/>
              </w:rPr>
              <w:t>X</w:t>
            </w:r>
          </w:p>
        </w:tc>
        <w:tc>
          <w:tcPr>
            <w:tcW w:w="768" w:type="pct"/>
            <w:tcBorders>
              <w:top w:val="nil"/>
              <w:left w:val="nil"/>
              <w:bottom w:val="single" w:color="auto" w:sz="4" w:space="0"/>
              <w:right w:val="single" w:color="auto" w:sz="4" w:space="0"/>
            </w:tcBorders>
            <w:shd w:val="clear" w:color="auto" w:fill="auto"/>
            <w:noWrap/>
          </w:tcPr>
          <w:p w:rsidRPr="00BF3255" w:rsidR="00BF3255" w:rsidP="000D1D33" w:rsidRDefault="00BF3255" w14:paraId="277DBAE1" w14:textId="18B4CB23">
            <w:pPr>
              <w:spacing w:after="0"/>
              <w:jc w:val="center"/>
              <w:rPr>
                <w:rFonts w:eastAsia="Times New Roman" w:cstheme="minorHAnsi"/>
                <w:color w:val="000000"/>
                <w:sz w:val="20"/>
                <w:szCs w:val="20"/>
                <w:lang w:val="en-US"/>
              </w:rPr>
            </w:pPr>
          </w:p>
        </w:tc>
      </w:tr>
      <w:tr w:rsidRPr="000619CA" w:rsidR="009858C5" w:rsidTr="2C1E4529" w14:paraId="4D63767D" w14:textId="77777777">
        <w:trPr>
          <w:trHeight w:val="295"/>
        </w:trPr>
        <w:tc>
          <w:tcPr>
            <w:tcW w:w="1152" w:type="pct"/>
            <w:tcBorders>
              <w:top w:val="single" w:color="auto" w:sz="4" w:space="0"/>
              <w:left w:val="single" w:color="auto" w:sz="4" w:space="0"/>
              <w:bottom w:val="single" w:color="auto" w:sz="4" w:space="0"/>
              <w:right w:val="single" w:color="auto" w:sz="4" w:space="0"/>
            </w:tcBorders>
            <w:shd w:val="clear" w:color="auto" w:fill="auto"/>
            <w:noWrap/>
          </w:tcPr>
          <w:p w:rsidRPr="00BF3255" w:rsidR="009858C5" w:rsidP="000D1D33" w:rsidRDefault="003801AD" w14:paraId="595CAC2D" w14:textId="4B9EE450">
            <w:pPr>
              <w:spacing w:after="0"/>
              <w:rPr>
                <w:b/>
                <w:bCs/>
                <w:sz w:val="20"/>
                <w:szCs w:val="20"/>
              </w:rPr>
            </w:pPr>
            <w:r>
              <w:rPr>
                <w:b/>
                <w:bCs/>
                <w:sz w:val="20"/>
                <w:szCs w:val="20"/>
              </w:rPr>
              <w:t>Číslo OP – Nový partner</w:t>
            </w:r>
          </w:p>
        </w:tc>
        <w:tc>
          <w:tcPr>
            <w:tcW w:w="578" w:type="pct"/>
            <w:tcBorders>
              <w:top w:val="single" w:color="auto" w:sz="4" w:space="0"/>
              <w:left w:val="nil"/>
              <w:bottom w:val="single" w:color="auto" w:sz="4" w:space="0"/>
              <w:right w:val="single" w:color="auto" w:sz="4" w:space="0"/>
            </w:tcBorders>
            <w:shd w:val="clear" w:color="auto" w:fill="auto"/>
            <w:noWrap/>
          </w:tcPr>
          <w:p w:rsidRPr="00BF3255" w:rsidR="009858C5" w:rsidP="000D1D33" w:rsidRDefault="003801AD" w14:paraId="534621D3" w14:textId="29A9A7C2">
            <w:pPr>
              <w:spacing w:after="0"/>
              <w:jc w:val="center"/>
              <w:rPr>
                <w:rFonts w:eastAsia="Times New Roman" w:cstheme="minorHAnsi"/>
                <w:sz w:val="20"/>
                <w:szCs w:val="20"/>
                <w:lang w:val="en-US"/>
              </w:rPr>
            </w:pPr>
            <w:r>
              <w:rPr>
                <w:rFonts w:eastAsia="Times New Roman" w:cstheme="minorHAnsi"/>
                <w:sz w:val="20"/>
                <w:szCs w:val="20"/>
                <w:lang w:val="en-US"/>
              </w:rPr>
              <w:t>X</w:t>
            </w:r>
          </w:p>
        </w:tc>
        <w:tc>
          <w:tcPr>
            <w:tcW w:w="578" w:type="pct"/>
            <w:tcBorders>
              <w:top w:val="single" w:color="auto" w:sz="4" w:space="0"/>
              <w:left w:val="nil"/>
              <w:bottom w:val="single" w:color="auto" w:sz="4" w:space="0"/>
              <w:right w:val="single" w:color="auto" w:sz="4" w:space="0"/>
            </w:tcBorders>
            <w:shd w:val="clear" w:color="auto" w:fill="auto"/>
            <w:noWrap/>
          </w:tcPr>
          <w:p w:rsidRPr="00BF3255" w:rsidR="009858C5" w:rsidP="000D1D33" w:rsidRDefault="003801AD" w14:paraId="448C6F92" w14:textId="6C957705">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c>
          <w:tcPr>
            <w:tcW w:w="1250" w:type="pct"/>
            <w:tcBorders>
              <w:top w:val="single" w:color="auto" w:sz="4" w:space="0"/>
              <w:left w:val="nil"/>
              <w:bottom w:val="single" w:color="auto" w:sz="4" w:space="0"/>
              <w:right w:val="single" w:color="auto" w:sz="4" w:space="0"/>
            </w:tcBorders>
            <w:shd w:val="clear" w:color="auto" w:fill="auto"/>
            <w:noWrap/>
          </w:tcPr>
          <w:p w:rsidRPr="00BF3255" w:rsidR="009858C5" w:rsidP="2C1E4529" w:rsidRDefault="5E118682" w14:paraId="5AA11EA9" w14:textId="325A79AA">
            <w:pPr>
              <w:spacing w:after="0"/>
              <w:jc w:val="center"/>
              <w:rPr>
                <w:rFonts w:eastAsia="Times New Roman"/>
                <w:color w:val="000000"/>
                <w:sz w:val="20"/>
                <w:szCs w:val="20"/>
                <w:lang w:val="en-US"/>
              </w:rPr>
            </w:pPr>
            <w:r w:rsidRPr="2C1E4529">
              <w:rPr>
                <w:noProof/>
              </w:rPr>
              <w:t>M</w:t>
            </w:r>
            <w:r w:rsidR="00E74CC2">
              <w:rPr>
                <w:noProof/>
              </w:rPr>
              <w:t>28</w:t>
            </w:r>
            <w:r w:rsidRPr="2C1E4529">
              <w:rPr>
                <w:noProof/>
              </w:rPr>
              <w:t>_KZC_001 - Obchodný partner</w:t>
            </w:r>
          </w:p>
        </w:tc>
        <w:tc>
          <w:tcPr>
            <w:tcW w:w="674" w:type="pct"/>
            <w:tcBorders>
              <w:top w:val="single" w:color="auto" w:sz="4" w:space="0"/>
              <w:left w:val="nil"/>
              <w:bottom w:val="single" w:color="auto" w:sz="4" w:space="0"/>
              <w:right w:val="single" w:color="auto" w:sz="4" w:space="0"/>
            </w:tcBorders>
            <w:shd w:val="clear" w:color="auto" w:fill="auto"/>
            <w:noWrap/>
          </w:tcPr>
          <w:p w:rsidRPr="00BF3255" w:rsidR="009858C5" w:rsidP="000D1D33" w:rsidRDefault="003801AD" w14:paraId="72222570" w14:textId="499B50A9">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c>
          <w:tcPr>
            <w:tcW w:w="768" w:type="pct"/>
            <w:tcBorders>
              <w:top w:val="single" w:color="auto" w:sz="4" w:space="0"/>
              <w:left w:val="nil"/>
              <w:bottom w:val="single" w:color="auto" w:sz="4" w:space="0"/>
              <w:right w:val="single" w:color="auto" w:sz="4" w:space="0"/>
            </w:tcBorders>
            <w:shd w:val="clear" w:color="auto" w:fill="auto"/>
            <w:noWrap/>
          </w:tcPr>
          <w:p w:rsidRPr="00BF3255" w:rsidR="009858C5" w:rsidP="000D1D33" w:rsidRDefault="003801AD" w14:paraId="2303370B" w14:textId="667240AE">
            <w:pPr>
              <w:spacing w:after="0"/>
              <w:jc w:val="center"/>
              <w:rPr>
                <w:rFonts w:eastAsia="Times New Roman" w:cstheme="minorHAnsi"/>
                <w:color w:val="000000"/>
                <w:sz w:val="20"/>
                <w:szCs w:val="20"/>
                <w:lang w:val="en-US"/>
              </w:rPr>
            </w:pPr>
            <w:r>
              <w:rPr>
                <w:rFonts w:eastAsia="Times New Roman" w:cstheme="minorHAnsi"/>
                <w:color w:val="000000"/>
                <w:sz w:val="20"/>
                <w:szCs w:val="20"/>
                <w:lang w:val="en-US"/>
              </w:rPr>
              <w:t>X</w:t>
            </w:r>
          </w:p>
        </w:tc>
      </w:tr>
    </w:tbl>
    <w:p w:rsidRPr="003E5970" w:rsidR="008113CA" w:rsidP="008113CA" w:rsidRDefault="008113CA" w14:paraId="4930F0D2" w14:textId="53FA3258">
      <w:pPr>
        <w:pStyle w:val="Popis"/>
        <w:keepNext/>
      </w:pPr>
      <w:r>
        <w:t xml:space="preserve">Tabuľka </w:t>
      </w:r>
      <w:r>
        <w:fldChar w:fldCharType="begin"/>
      </w:r>
      <w:r>
        <w:instrText xml:space="preserve"> SEQ Tabuľka \* ARABIC </w:instrText>
      </w:r>
      <w:r>
        <w:fldChar w:fldCharType="separate"/>
      </w:r>
      <w:r w:rsidRPr="2C1E4529">
        <w:rPr>
          <w:noProof/>
        </w:rPr>
        <w:t>2</w:t>
      </w:r>
      <w:r w:rsidRPr="2C1E4529">
        <w:rPr>
          <w:noProof/>
        </w:rPr>
        <w:t xml:space="preserve"> – </w:t>
      </w:r>
      <w:r>
        <w:fldChar w:fldCharType="end"/>
      </w:r>
      <w:r w:rsidRPr="2C1E4529">
        <w:rPr>
          <w:noProof/>
        </w:rPr>
        <w:t>Zoznam polí</w:t>
      </w:r>
    </w:p>
    <w:sectPr w:rsidRPr="003E5970" w:rsidR="008113CA" w:rsidSect="00BC2C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C2"/>
    <w:multiLevelType w:val="hybridMultilevel"/>
    <w:tmpl w:val="964EA420"/>
    <w:lvl w:ilvl="0" w:tplc="6F5A50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B29"/>
    <w:multiLevelType w:val="hybridMultilevel"/>
    <w:tmpl w:val="6B8C5260"/>
    <w:lvl w:ilvl="0" w:tplc="9EF47016">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13346BF4"/>
    <w:multiLevelType w:val="multilevel"/>
    <w:tmpl w:val="E0D6FD5C"/>
    <w:lvl w:ilvl="0">
      <w:start w:val="1"/>
      <w:numFmt w:val="decimal"/>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DD09AD"/>
    <w:multiLevelType w:val="hybridMultilevel"/>
    <w:tmpl w:val="D112305E"/>
    <w:lvl w:ilvl="0" w:tplc="648244E8">
      <w:numFmt w:val="bullet"/>
      <w:lvlText w:val="-"/>
      <w:lvlJc w:val="left"/>
      <w:pPr>
        <w:ind w:left="720" w:hanging="360"/>
      </w:pPr>
      <w:rPr>
        <w:rFonts w:hint="default" w:ascii="Calibri" w:hAnsi="Calibri" w:cs="Calibri" w:eastAsiaTheme="minorHAns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38ED0D70"/>
    <w:multiLevelType w:val="hybridMultilevel"/>
    <w:tmpl w:val="5C9EAD54"/>
    <w:lvl w:ilvl="0" w:tplc="13D42C36">
      <w:numFmt w:val="bullet"/>
      <w:lvlText w:val="-"/>
      <w:lvlJc w:val="left"/>
      <w:pPr>
        <w:ind w:left="720" w:hanging="360"/>
      </w:pPr>
      <w:rPr>
        <w:rFonts w:hint="default" w:ascii="Calibri" w:hAnsi="Calibri" w:cs="Calibri" w:eastAsiaTheme="minorHAns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3C3A4EC0"/>
    <w:multiLevelType w:val="hybridMultilevel"/>
    <w:tmpl w:val="A6605442"/>
    <w:lvl w:ilvl="0" w:tplc="DDB0288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1C6F0F"/>
    <w:multiLevelType w:val="hybridMultilevel"/>
    <w:tmpl w:val="ED9AD636"/>
    <w:lvl w:ilvl="0" w:tplc="C0E8202E">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53E83041"/>
    <w:multiLevelType w:val="multilevel"/>
    <w:tmpl w:val="0B32E7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5F02B61"/>
    <w:multiLevelType w:val="hybridMultilevel"/>
    <w:tmpl w:val="9DD0E69A"/>
    <w:lvl w:ilvl="0" w:tplc="6D3CEE10">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9" w15:restartNumberingAfterBreak="0">
    <w:nsid w:val="594A3ED2"/>
    <w:multiLevelType w:val="hybridMultilevel"/>
    <w:tmpl w:val="0EFAD386"/>
    <w:lvl w:ilvl="0" w:tplc="4FE0C27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0" w15:restartNumberingAfterBreak="0">
    <w:nsid w:val="5F6B5A87"/>
    <w:multiLevelType w:val="multilevel"/>
    <w:tmpl w:val="F20EB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3E70EE"/>
    <w:multiLevelType w:val="hybridMultilevel"/>
    <w:tmpl w:val="2EB2B0F4"/>
    <w:lvl w:ilvl="0" w:tplc="A2ECE378">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63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D273E0"/>
    <w:multiLevelType w:val="hybridMultilevel"/>
    <w:tmpl w:val="4AC244D2"/>
    <w:lvl w:ilvl="0" w:tplc="79AE67AA">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16cid:durableId="192547024">
    <w:abstractNumId w:val="5"/>
  </w:num>
  <w:num w:numId="2" w16cid:durableId="670835413">
    <w:abstractNumId w:val="5"/>
  </w:num>
  <w:num w:numId="3" w16cid:durableId="1762069669">
    <w:abstractNumId w:val="10"/>
  </w:num>
  <w:num w:numId="4" w16cid:durableId="833380190">
    <w:abstractNumId w:val="2"/>
  </w:num>
  <w:num w:numId="5" w16cid:durableId="653684065">
    <w:abstractNumId w:val="0"/>
  </w:num>
  <w:num w:numId="6" w16cid:durableId="1842499884">
    <w:abstractNumId w:val="0"/>
  </w:num>
  <w:num w:numId="7" w16cid:durableId="228347506">
    <w:abstractNumId w:val="0"/>
  </w:num>
  <w:num w:numId="8" w16cid:durableId="224486816">
    <w:abstractNumId w:val="11"/>
  </w:num>
  <w:num w:numId="9" w16cid:durableId="1547790896">
    <w:abstractNumId w:val="12"/>
  </w:num>
  <w:num w:numId="10" w16cid:durableId="865674330">
    <w:abstractNumId w:val="7"/>
  </w:num>
  <w:num w:numId="11" w16cid:durableId="1732342138">
    <w:abstractNumId w:val="7"/>
  </w:num>
  <w:num w:numId="12" w16cid:durableId="624655144">
    <w:abstractNumId w:val="7"/>
  </w:num>
  <w:num w:numId="13" w16cid:durableId="193080435">
    <w:abstractNumId w:val="7"/>
  </w:num>
  <w:num w:numId="14" w16cid:durableId="1460758078">
    <w:abstractNumId w:val="1"/>
  </w:num>
  <w:num w:numId="15" w16cid:durableId="1696999921">
    <w:abstractNumId w:val="9"/>
  </w:num>
  <w:num w:numId="16" w16cid:durableId="1573809089">
    <w:abstractNumId w:val="3"/>
  </w:num>
  <w:num w:numId="17" w16cid:durableId="950430688">
    <w:abstractNumId w:val="6"/>
  </w:num>
  <w:num w:numId="18" w16cid:durableId="789664915">
    <w:abstractNumId w:val="8"/>
  </w:num>
  <w:num w:numId="19" w16cid:durableId="743380048">
    <w:abstractNumId w:val="13"/>
  </w:num>
  <w:num w:numId="20" w16cid:durableId="766579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BB"/>
    <w:rsid w:val="00011E6A"/>
    <w:rsid w:val="00016C19"/>
    <w:rsid w:val="000177E8"/>
    <w:rsid w:val="000377F8"/>
    <w:rsid w:val="00040218"/>
    <w:rsid w:val="00054066"/>
    <w:rsid w:val="000630A8"/>
    <w:rsid w:val="00065453"/>
    <w:rsid w:val="00083600"/>
    <w:rsid w:val="0009017A"/>
    <w:rsid w:val="00093BFD"/>
    <w:rsid w:val="00095E7C"/>
    <w:rsid w:val="000A0203"/>
    <w:rsid w:val="000A59DF"/>
    <w:rsid w:val="000A6125"/>
    <w:rsid w:val="000B1FE1"/>
    <w:rsid w:val="000B2AC8"/>
    <w:rsid w:val="000D0EDE"/>
    <w:rsid w:val="000D2800"/>
    <w:rsid w:val="000D60B6"/>
    <w:rsid w:val="000E7C1B"/>
    <w:rsid w:val="000F3D49"/>
    <w:rsid w:val="001128E9"/>
    <w:rsid w:val="00120A39"/>
    <w:rsid w:val="00122B41"/>
    <w:rsid w:val="0014567F"/>
    <w:rsid w:val="00150005"/>
    <w:rsid w:val="00156ADE"/>
    <w:rsid w:val="00160A15"/>
    <w:rsid w:val="0017198E"/>
    <w:rsid w:val="001805C5"/>
    <w:rsid w:val="00184A8F"/>
    <w:rsid w:val="00192FC2"/>
    <w:rsid w:val="001B3386"/>
    <w:rsid w:val="001B77A2"/>
    <w:rsid w:val="001C5BAC"/>
    <w:rsid w:val="001F4365"/>
    <w:rsid w:val="00213BD3"/>
    <w:rsid w:val="00216F14"/>
    <w:rsid w:val="00232520"/>
    <w:rsid w:val="0023780F"/>
    <w:rsid w:val="00242793"/>
    <w:rsid w:val="00245836"/>
    <w:rsid w:val="00253B67"/>
    <w:rsid w:val="002628FE"/>
    <w:rsid w:val="00266135"/>
    <w:rsid w:val="00295FDC"/>
    <w:rsid w:val="00296F17"/>
    <w:rsid w:val="002A159F"/>
    <w:rsid w:val="002C27AA"/>
    <w:rsid w:val="002C2A5F"/>
    <w:rsid w:val="002C429D"/>
    <w:rsid w:val="002E1E90"/>
    <w:rsid w:val="002E6E5E"/>
    <w:rsid w:val="00316021"/>
    <w:rsid w:val="003167DC"/>
    <w:rsid w:val="00324553"/>
    <w:rsid w:val="00335CBA"/>
    <w:rsid w:val="00357E8A"/>
    <w:rsid w:val="003659A8"/>
    <w:rsid w:val="003801AD"/>
    <w:rsid w:val="0038588B"/>
    <w:rsid w:val="00391DF2"/>
    <w:rsid w:val="003A2EF2"/>
    <w:rsid w:val="003B4869"/>
    <w:rsid w:val="003D20D8"/>
    <w:rsid w:val="003D531D"/>
    <w:rsid w:val="003D6674"/>
    <w:rsid w:val="003E5970"/>
    <w:rsid w:val="003F1F8E"/>
    <w:rsid w:val="003F32D0"/>
    <w:rsid w:val="003F658C"/>
    <w:rsid w:val="00402CD4"/>
    <w:rsid w:val="00410455"/>
    <w:rsid w:val="00411EE6"/>
    <w:rsid w:val="00414EEF"/>
    <w:rsid w:val="00427DCB"/>
    <w:rsid w:val="004341AD"/>
    <w:rsid w:val="00446492"/>
    <w:rsid w:val="00452824"/>
    <w:rsid w:val="00452F84"/>
    <w:rsid w:val="0045597B"/>
    <w:rsid w:val="00460887"/>
    <w:rsid w:val="00461B9B"/>
    <w:rsid w:val="00474D10"/>
    <w:rsid w:val="004774DF"/>
    <w:rsid w:val="00480C22"/>
    <w:rsid w:val="004901D7"/>
    <w:rsid w:val="004B532B"/>
    <w:rsid w:val="004B72C2"/>
    <w:rsid w:val="004C229A"/>
    <w:rsid w:val="004C260B"/>
    <w:rsid w:val="004C5473"/>
    <w:rsid w:val="004E46FB"/>
    <w:rsid w:val="00502240"/>
    <w:rsid w:val="00522E97"/>
    <w:rsid w:val="00527BA1"/>
    <w:rsid w:val="00537F07"/>
    <w:rsid w:val="00544584"/>
    <w:rsid w:val="00546CF5"/>
    <w:rsid w:val="005503D4"/>
    <w:rsid w:val="005632E9"/>
    <w:rsid w:val="0059266F"/>
    <w:rsid w:val="00592EEB"/>
    <w:rsid w:val="00593572"/>
    <w:rsid w:val="005B0F90"/>
    <w:rsid w:val="005B613E"/>
    <w:rsid w:val="005B776C"/>
    <w:rsid w:val="005B7A1F"/>
    <w:rsid w:val="005C1BEA"/>
    <w:rsid w:val="005D79E8"/>
    <w:rsid w:val="005F4C42"/>
    <w:rsid w:val="00600412"/>
    <w:rsid w:val="00601BBF"/>
    <w:rsid w:val="00601D3F"/>
    <w:rsid w:val="0060614F"/>
    <w:rsid w:val="006407A3"/>
    <w:rsid w:val="00645472"/>
    <w:rsid w:val="00647929"/>
    <w:rsid w:val="00681BCD"/>
    <w:rsid w:val="00683E68"/>
    <w:rsid w:val="006868F9"/>
    <w:rsid w:val="00691D46"/>
    <w:rsid w:val="006A182B"/>
    <w:rsid w:val="006A1870"/>
    <w:rsid w:val="006C1EB0"/>
    <w:rsid w:val="006F1223"/>
    <w:rsid w:val="00712F3A"/>
    <w:rsid w:val="00721495"/>
    <w:rsid w:val="00733B99"/>
    <w:rsid w:val="00743F9E"/>
    <w:rsid w:val="00747C56"/>
    <w:rsid w:val="00790866"/>
    <w:rsid w:val="007A0ACA"/>
    <w:rsid w:val="007A2E7E"/>
    <w:rsid w:val="007A7269"/>
    <w:rsid w:val="007B3931"/>
    <w:rsid w:val="007C34EB"/>
    <w:rsid w:val="007C6070"/>
    <w:rsid w:val="007D2EBC"/>
    <w:rsid w:val="007D3267"/>
    <w:rsid w:val="007E07C4"/>
    <w:rsid w:val="007F0CB6"/>
    <w:rsid w:val="007F5D6D"/>
    <w:rsid w:val="007F5F2D"/>
    <w:rsid w:val="00800082"/>
    <w:rsid w:val="008113CA"/>
    <w:rsid w:val="00814DE8"/>
    <w:rsid w:val="008341E6"/>
    <w:rsid w:val="008355BB"/>
    <w:rsid w:val="00836A49"/>
    <w:rsid w:val="0084550A"/>
    <w:rsid w:val="008458E8"/>
    <w:rsid w:val="00854DE6"/>
    <w:rsid w:val="00871464"/>
    <w:rsid w:val="00886EEA"/>
    <w:rsid w:val="008978C6"/>
    <w:rsid w:val="008B5ED0"/>
    <w:rsid w:val="008C0FB0"/>
    <w:rsid w:val="008C1E9A"/>
    <w:rsid w:val="008E3C4A"/>
    <w:rsid w:val="008E6D19"/>
    <w:rsid w:val="009059C8"/>
    <w:rsid w:val="009467BB"/>
    <w:rsid w:val="00951A96"/>
    <w:rsid w:val="00953687"/>
    <w:rsid w:val="009605A1"/>
    <w:rsid w:val="0096265B"/>
    <w:rsid w:val="009650F2"/>
    <w:rsid w:val="00981F0E"/>
    <w:rsid w:val="009858C5"/>
    <w:rsid w:val="00987A7A"/>
    <w:rsid w:val="00997A8D"/>
    <w:rsid w:val="009A1084"/>
    <w:rsid w:val="009C5F3E"/>
    <w:rsid w:val="009C6E07"/>
    <w:rsid w:val="009E1612"/>
    <w:rsid w:val="009F06B3"/>
    <w:rsid w:val="009F5167"/>
    <w:rsid w:val="00A077AB"/>
    <w:rsid w:val="00A07F6A"/>
    <w:rsid w:val="00A166E1"/>
    <w:rsid w:val="00A21A3E"/>
    <w:rsid w:val="00A22746"/>
    <w:rsid w:val="00A31DF6"/>
    <w:rsid w:val="00A4702B"/>
    <w:rsid w:val="00A55754"/>
    <w:rsid w:val="00A72D81"/>
    <w:rsid w:val="00A85C40"/>
    <w:rsid w:val="00A90C50"/>
    <w:rsid w:val="00A92A76"/>
    <w:rsid w:val="00A94408"/>
    <w:rsid w:val="00A96A98"/>
    <w:rsid w:val="00A9743F"/>
    <w:rsid w:val="00AA4F9A"/>
    <w:rsid w:val="00AB3FEA"/>
    <w:rsid w:val="00AE725A"/>
    <w:rsid w:val="00AF677F"/>
    <w:rsid w:val="00AF6D42"/>
    <w:rsid w:val="00B2367E"/>
    <w:rsid w:val="00B31A5B"/>
    <w:rsid w:val="00B32E01"/>
    <w:rsid w:val="00B52CA4"/>
    <w:rsid w:val="00B605EF"/>
    <w:rsid w:val="00B61950"/>
    <w:rsid w:val="00B73138"/>
    <w:rsid w:val="00B76BB1"/>
    <w:rsid w:val="00B83B86"/>
    <w:rsid w:val="00B855D6"/>
    <w:rsid w:val="00BB1CEB"/>
    <w:rsid w:val="00BB2382"/>
    <w:rsid w:val="00BB2922"/>
    <w:rsid w:val="00BB2E75"/>
    <w:rsid w:val="00BC0C7A"/>
    <w:rsid w:val="00BC2CDC"/>
    <w:rsid w:val="00BC60F8"/>
    <w:rsid w:val="00BC6B09"/>
    <w:rsid w:val="00BF099A"/>
    <w:rsid w:val="00BF3255"/>
    <w:rsid w:val="00BF5193"/>
    <w:rsid w:val="00C05A43"/>
    <w:rsid w:val="00C15498"/>
    <w:rsid w:val="00C31685"/>
    <w:rsid w:val="00C33A7E"/>
    <w:rsid w:val="00C41A70"/>
    <w:rsid w:val="00C42811"/>
    <w:rsid w:val="00C5073E"/>
    <w:rsid w:val="00C537A1"/>
    <w:rsid w:val="00C54383"/>
    <w:rsid w:val="00C63184"/>
    <w:rsid w:val="00C77563"/>
    <w:rsid w:val="00C77A6D"/>
    <w:rsid w:val="00CA334E"/>
    <w:rsid w:val="00CA40DF"/>
    <w:rsid w:val="00CA4CCB"/>
    <w:rsid w:val="00CB0279"/>
    <w:rsid w:val="00CB26C3"/>
    <w:rsid w:val="00CB3DF3"/>
    <w:rsid w:val="00CB5967"/>
    <w:rsid w:val="00CC2138"/>
    <w:rsid w:val="00CC21CE"/>
    <w:rsid w:val="00CD6180"/>
    <w:rsid w:val="00CD6F1B"/>
    <w:rsid w:val="00CE57B5"/>
    <w:rsid w:val="00CF15DB"/>
    <w:rsid w:val="00CF16DA"/>
    <w:rsid w:val="00CF33B6"/>
    <w:rsid w:val="00CF3DC8"/>
    <w:rsid w:val="00D17E50"/>
    <w:rsid w:val="00D31F62"/>
    <w:rsid w:val="00D4130B"/>
    <w:rsid w:val="00D51F3A"/>
    <w:rsid w:val="00D52E41"/>
    <w:rsid w:val="00D618A9"/>
    <w:rsid w:val="00D61BA7"/>
    <w:rsid w:val="00D94AFA"/>
    <w:rsid w:val="00D95CB1"/>
    <w:rsid w:val="00DA77D8"/>
    <w:rsid w:val="00DB7678"/>
    <w:rsid w:val="00DC0E7E"/>
    <w:rsid w:val="00DD19B7"/>
    <w:rsid w:val="00DD5CDD"/>
    <w:rsid w:val="00DD7F7C"/>
    <w:rsid w:val="00DE6247"/>
    <w:rsid w:val="00DF20A7"/>
    <w:rsid w:val="00E06D46"/>
    <w:rsid w:val="00E07918"/>
    <w:rsid w:val="00E13AD0"/>
    <w:rsid w:val="00E153CA"/>
    <w:rsid w:val="00E322BA"/>
    <w:rsid w:val="00E42626"/>
    <w:rsid w:val="00E5576C"/>
    <w:rsid w:val="00E6116E"/>
    <w:rsid w:val="00E74CC2"/>
    <w:rsid w:val="00E81D82"/>
    <w:rsid w:val="00EB46FE"/>
    <w:rsid w:val="00ED5183"/>
    <w:rsid w:val="00ED5A6B"/>
    <w:rsid w:val="00ED6C65"/>
    <w:rsid w:val="00EE057D"/>
    <w:rsid w:val="00EF2518"/>
    <w:rsid w:val="00F10312"/>
    <w:rsid w:val="00F2254C"/>
    <w:rsid w:val="00F23AAC"/>
    <w:rsid w:val="00F61DC6"/>
    <w:rsid w:val="00F6672C"/>
    <w:rsid w:val="00F80870"/>
    <w:rsid w:val="00F94FD3"/>
    <w:rsid w:val="00FA178B"/>
    <w:rsid w:val="00FA5709"/>
    <w:rsid w:val="00FA5DEF"/>
    <w:rsid w:val="00FC4F77"/>
    <w:rsid w:val="00FC66A8"/>
    <w:rsid w:val="00FC6DE7"/>
    <w:rsid w:val="00FF03DF"/>
    <w:rsid w:val="00FF6336"/>
    <w:rsid w:val="02E76238"/>
    <w:rsid w:val="04536772"/>
    <w:rsid w:val="0703CA48"/>
    <w:rsid w:val="0A100240"/>
    <w:rsid w:val="0E7BE569"/>
    <w:rsid w:val="0EA79101"/>
    <w:rsid w:val="10F5E84E"/>
    <w:rsid w:val="13C9C6B2"/>
    <w:rsid w:val="14DC7C73"/>
    <w:rsid w:val="14E96D4E"/>
    <w:rsid w:val="17AA6910"/>
    <w:rsid w:val="190490A0"/>
    <w:rsid w:val="190A1EC7"/>
    <w:rsid w:val="198A3D0F"/>
    <w:rsid w:val="1ABF3DCD"/>
    <w:rsid w:val="1B50B280"/>
    <w:rsid w:val="1C81063C"/>
    <w:rsid w:val="1CEC2C56"/>
    <w:rsid w:val="2082DB26"/>
    <w:rsid w:val="21227CFC"/>
    <w:rsid w:val="21536A84"/>
    <w:rsid w:val="248D604D"/>
    <w:rsid w:val="249E3F56"/>
    <w:rsid w:val="253C1315"/>
    <w:rsid w:val="25BCFDB9"/>
    <w:rsid w:val="26211A2B"/>
    <w:rsid w:val="26319034"/>
    <w:rsid w:val="2A9E173D"/>
    <w:rsid w:val="2C1E4529"/>
    <w:rsid w:val="2C8215B5"/>
    <w:rsid w:val="2F29827D"/>
    <w:rsid w:val="2FC5AF4D"/>
    <w:rsid w:val="3073BFD8"/>
    <w:rsid w:val="32D927C2"/>
    <w:rsid w:val="32E674D6"/>
    <w:rsid w:val="36C26859"/>
    <w:rsid w:val="3775973E"/>
    <w:rsid w:val="37912718"/>
    <w:rsid w:val="39536936"/>
    <w:rsid w:val="3A246C4C"/>
    <w:rsid w:val="3B739E7A"/>
    <w:rsid w:val="4008A8D3"/>
    <w:rsid w:val="404C33F1"/>
    <w:rsid w:val="427C80D4"/>
    <w:rsid w:val="4433CFA7"/>
    <w:rsid w:val="455987A0"/>
    <w:rsid w:val="4910C43D"/>
    <w:rsid w:val="4973C7AA"/>
    <w:rsid w:val="535E3F1E"/>
    <w:rsid w:val="54DE2DE6"/>
    <w:rsid w:val="567CEA54"/>
    <w:rsid w:val="57F3C956"/>
    <w:rsid w:val="5837D75F"/>
    <w:rsid w:val="5A6B5461"/>
    <w:rsid w:val="5B562BD5"/>
    <w:rsid w:val="5E118682"/>
    <w:rsid w:val="5F20F9DF"/>
    <w:rsid w:val="600A46CF"/>
    <w:rsid w:val="61317345"/>
    <w:rsid w:val="63592038"/>
    <w:rsid w:val="63990F38"/>
    <w:rsid w:val="639951CA"/>
    <w:rsid w:val="63CB4009"/>
    <w:rsid w:val="68A0F7A6"/>
    <w:rsid w:val="6D2332B4"/>
    <w:rsid w:val="6DC10673"/>
    <w:rsid w:val="715FA3F6"/>
    <w:rsid w:val="7276ABF1"/>
    <w:rsid w:val="72947796"/>
    <w:rsid w:val="7363EEFF"/>
    <w:rsid w:val="7525C4B3"/>
    <w:rsid w:val="77607135"/>
    <w:rsid w:val="7802079C"/>
    <w:rsid w:val="789084FD"/>
    <w:rsid w:val="7A689579"/>
    <w:rsid w:val="7E467223"/>
    <w:rsid w:val="7E6CEFF9"/>
    <w:rsid w:val="7F7FC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627B"/>
  <w15:chartTrackingRefBased/>
  <w15:docId w15:val="{4D88CCFF-A4FF-40E9-9041-7CED7D2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480"/>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8355BB"/>
    <w:pPr>
      <w:ind w:left="0" w:firstLine="0"/>
    </w:pPr>
    <w:rPr>
      <w:lang w:val="sk-SK"/>
    </w:rPr>
  </w:style>
  <w:style w:type="paragraph" w:styleId="Nadpis1">
    <w:name w:val="heading 1"/>
    <w:basedOn w:val="Normlny"/>
    <w:next w:val="Normlny"/>
    <w:link w:val="Nadpis1Char"/>
    <w:autoRedefine/>
    <w:qFormat/>
    <w:rsid w:val="00712F3A"/>
    <w:pPr>
      <w:keepNext/>
      <w:pageBreakBefore/>
      <w:numPr>
        <w:numId w:val="10"/>
      </w:numPr>
      <w:overflowPunct w:val="0"/>
      <w:autoSpaceDE w:val="0"/>
      <w:autoSpaceDN w:val="0"/>
      <w:adjustRightInd w:val="0"/>
      <w:contextualSpacing/>
      <w:textAlignment w:val="baseline"/>
      <w:outlineLvl w:val="0"/>
    </w:pPr>
    <w:rPr>
      <w:rFonts w:ascii="Arial" w:hAnsi="Arial" w:eastAsia="Times New Roman"/>
      <w:b/>
    </w:rPr>
  </w:style>
  <w:style w:type="paragraph" w:styleId="Nadpis2">
    <w:name w:val="heading 2"/>
    <w:basedOn w:val="Normlny"/>
    <w:next w:val="Normlny"/>
    <w:link w:val="Nadpis2Char"/>
    <w:autoRedefine/>
    <w:uiPriority w:val="9"/>
    <w:unhideWhenUsed/>
    <w:qFormat/>
    <w:rsid w:val="00DF20A7"/>
    <w:pPr>
      <w:keepNext/>
      <w:keepLines/>
      <w:numPr>
        <w:ilvl w:val="1"/>
        <w:numId w:val="10"/>
      </w:numPr>
      <w:spacing w:before="100" w:beforeAutospacing="1" w:after="100" w:afterAutospacing="1"/>
      <w:outlineLvl w:val="1"/>
    </w:pPr>
    <w:rPr>
      <w:rFonts w:ascii="Calibri" w:hAnsi="Calibri" w:eastAsiaTheme="majorEastAsia" w:cstheme="majorBidi"/>
      <w:b/>
      <w:szCs w:val="26"/>
    </w:rPr>
  </w:style>
  <w:style w:type="paragraph" w:styleId="Nadpis3">
    <w:name w:val="heading 3"/>
    <w:basedOn w:val="Normlny"/>
    <w:next w:val="Normlny"/>
    <w:link w:val="Nadpis3Char"/>
    <w:autoRedefine/>
    <w:uiPriority w:val="9"/>
    <w:unhideWhenUsed/>
    <w:qFormat/>
    <w:rsid w:val="005B0F90"/>
    <w:pPr>
      <w:keepNext/>
      <w:keepLines/>
      <w:numPr>
        <w:ilvl w:val="2"/>
        <w:numId w:val="10"/>
      </w:numPr>
      <w:spacing w:after="0"/>
      <w:contextualSpacing/>
      <w:outlineLvl w:val="2"/>
    </w:pPr>
    <w:rPr>
      <w:rFonts w:asciiTheme="majorHAnsi" w:hAnsiTheme="majorHAnsi" w:eastAsiaTheme="majorEastAsia"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712F3A"/>
    <w:pPr>
      <w:keepNext/>
      <w:keepLines/>
      <w:numPr>
        <w:ilvl w:val="3"/>
        <w:numId w:val="10"/>
      </w:numPr>
      <w:spacing w:before="40" w:after="0"/>
      <w:outlineLvl w:val="3"/>
    </w:pPr>
    <w:rPr>
      <w:rFonts w:asciiTheme="majorHAnsi" w:hAnsiTheme="majorHAnsi" w:eastAsiaTheme="majorEastAsia" w:cstheme="majorBidi"/>
      <w:i/>
      <w:iCs/>
      <w:color w:val="2F5496" w:themeColor="accent1" w:themeShade="BF"/>
    </w:rPr>
  </w:style>
  <w:style w:type="paragraph" w:styleId="Nadpis5">
    <w:name w:val="heading 5"/>
    <w:basedOn w:val="Normlny"/>
    <w:next w:val="Normlny"/>
    <w:link w:val="Nadpis5Char"/>
    <w:uiPriority w:val="9"/>
    <w:semiHidden/>
    <w:unhideWhenUsed/>
    <w:qFormat/>
    <w:rsid w:val="00712F3A"/>
    <w:pPr>
      <w:keepNext/>
      <w:keepLines/>
      <w:numPr>
        <w:ilvl w:val="4"/>
        <w:numId w:val="10"/>
      </w:numPr>
      <w:spacing w:before="40" w:after="0"/>
      <w:outlineLvl w:val="4"/>
    </w:pPr>
    <w:rPr>
      <w:rFonts w:asciiTheme="majorHAnsi" w:hAnsiTheme="majorHAnsi" w:eastAsiaTheme="majorEastAsia" w:cstheme="majorBidi"/>
      <w:color w:val="2F5496" w:themeColor="accent1" w:themeShade="BF"/>
    </w:rPr>
  </w:style>
  <w:style w:type="paragraph" w:styleId="Nadpis6">
    <w:name w:val="heading 6"/>
    <w:basedOn w:val="Normlny"/>
    <w:next w:val="Normlny"/>
    <w:link w:val="Nadpis6Char"/>
    <w:uiPriority w:val="9"/>
    <w:semiHidden/>
    <w:unhideWhenUsed/>
    <w:qFormat/>
    <w:rsid w:val="00712F3A"/>
    <w:pPr>
      <w:keepNext/>
      <w:keepLines/>
      <w:numPr>
        <w:ilvl w:val="5"/>
        <w:numId w:val="10"/>
      </w:numPr>
      <w:spacing w:before="40" w:after="0"/>
      <w:outlineLvl w:val="5"/>
    </w:pPr>
    <w:rPr>
      <w:rFonts w:asciiTheme="majorHAnsi" w:hAnsiTheme="majorHAnsi" w:eastAsiaTheme="majorEastAsia" w:cstheme="majorBidi"/>
      <w:color w:val="1F3763" w:themeColor="accent1" w:themeShade="7F"/>
    </w:rPr>
  </w:style>
  <w:style w:type="paragraph" w:styleId="Nadpis7">
    <w:name w:val="heading 7"/>
    <w:basedOn w:val="Normlny"/>
    <w:next w:val="Normlny"/>
    <w:link w:val="Nadpis7Char"/>
    <w:uiPriority w:val="9"/>
    <w:semiHidden/>
    <w:unhideWhenUsed/>
    <w:qFormat/>
    <w:rsid w:val="00712F3A"/>
    <w:pPr>
      <w:keepNext/>
      <w:keepLines/>
      <w:numPr>
        <w:ilvl w:val="6"/>
        <w:numId w:val="10"/>
      </w:numPr>
      <w:spacing w:before="40" w:after="0"/>
      <w:outlineLvl w:val="6"/>
    </w:pPr>
    <w:rPr>
      <w:rFonts w:asciiTheme="majorHAnsi" w:hAnsiTheme="majorHAnsi" w:eastAsiaTheme="majorEastAsia" w:cstheme="majorBidi"/>
      <w:i/>
      <w:iCs/>
      <w:color w:val="1F3763" w:themeColor="accent1" w:themeShade="7F"/>
    </w:rPr>
  </w:style>
  <w:style w:type="paragraph" w:styleId="Nadpis8">
    <w:name w:val="heading 8"/>
    <w:basedOn w:val="Normlny"/>
    <w:next w:val="Normlny"/>
    <w:link w:val="Nadpis8Char"/>
    <w:uiPriority w:val="9"/>
    <w:semiHidden/>
    <w:unhideWhenUsed/>
    <w:qFormat/>
    <w:rsid w:val="00712F3A"/>
    <w:pPr>
      <w:keepNext/>
      <w:keepLines/>
      <w:numPr>
        <w:ilvl w:val="7"/>
        <w:numId w:val="10"/>
      </w:numPr>
      <w:spacing w:before="40" w:after="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12F3A"/>
    <w:pPr>
      <w:keepNext/>
      <w:keepLines/>
      <w:numPr>
        <w:ilvl w:val="8"/>
        <w:numId w:val="10"/>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rsid w:val="00712F3A"/>
    <w:rPr>
      <w:rFonts w:ascii="Arial" w:hAnsi="Arial" w:eastAsia="Times New Roman"/>
      <w:b/>
      <w:lang w:val="sk-SK"/>
    </w:rPr>
  </w:style>
  <w:style w:type="paragraph" w:styleId="Nzov">
    <w:name w:val="Title"/>
    <w:basedOn w:val="Normlny"/>
    <w:next w:val="Normlny"/>
    <w:link w:val="NzovChar"/>
    <w:autoRedefine/>
    <w:uiPriority w:val="10"/>
    <w:qFormat/>
    <w:rsid w:val="0014567F"/>
    <w:pPr>
      <w:spacing w:after="0"/>
      <w:ind w:left="720" w:hanging="360"/>
      <w:contextualSpacing/>
    </w:pPr>
    <w:rPr>
      <w:rFonts w:ascii="Calibri" w:hAnsi="Calibri" w:eastAsiaTheme="majorEastAsia" w:cstheme="majorBidi"/>
      <w:spacing w:val="-10"/>
      <w:kern w:val="28"/>
      <w:sz w:val="28"/>
      <w:szCs w:val="56"/>
    </w:rPr>
  </w:style>
  <w:style w:type="character" w:styleId="NzovChar" w:customStyle="1">
    <w:name w:val="Názov Char"/>
    <w:basedOn w:val="Predvolenpsmoodseku"/>
    <w:link w:val="Nzov"/>
    <w:uiPriority w:val="10"/>
    <w:rsid w:val="0014567F"/>
    <w:rPr>
      <w:rFonts w:ascii="Calibri" w:hAnsi="Calibri" w:eastAsiaTheme="majorEastAsia" w:cstheme="majorBidi"/>
      <w:b/>
      <w:spacing w:val="-10"/>
      <w:kern w:val="28"/>
      <w:sz w:val="28"/>
      <w:szCs w:val="56"/>
      <w:lang w:val="sk-SK"/>
    </w:rPr>
  </w:style>
  <w:style w:type="character" w:styleId="Nadpis2Char" w:customStyle="1">
    <w:name w:val="Nadpis 2 Char"/>
    <w:basedOn w:val="Predvolenpsmoodseku"/>
    <w:link w:val="Nadpis2"/>
    <w:uiPriority w:val="9"/>
    <w:rsid w:val="00DF20A7"/>
    <w:rPr>
      <w:rFonts w:ascii="Calibri" w:hAnsi="Calibri" w:eastAsiaTheme="majorEastAsia" w:cstheme="majorBidi"/>
      <w:b/>
      <w:szCs w:val="26"/>
      <w:lang w:val="sk-SK"/>
    </w:rPr>
  </w:style>
  <w:style w:type="character" w:styleId="Nadpis3Char" w:customStyle="1">
    <w:name w:val="Nadpis 3 Char"/>
    <w:basedOn w:val="Predvolenpsmoodseku"/>
    <w:link w:val="Nadpis3"/>
    <w:uiPriority w:val="9"/>
    <w:rsid w:val="005B0F90"/>
    <w:rPr>
      <w:rFonts w:asciiTheme="majorHAnsi" w:hAnsiTheme="majorHAnsi" w:eastAsiaTheme="majorEastAsia" w:cstheme="majorBidi"/>
      <w:color w:val="1F3763" w:themeColor="accent1" w:themeShade="7F"/>
      <w:szCs w:val="24"/>
      <w:lang w:val="sk-SK"/>
    </w:rPr>
  </w:style>
  <w:style w:type="character" w:styleId="Nadpis4Char" w:customStyle="1">
    <w:name w:val="Nadpis 4 Char"/>
    <w:basedOn w:val="Predvolenpsmoodseku"/>
    <w:link w:val="Nadpis4"/>
    <w:uiPriority w:val="9"/>
    <w:semiHidden/>
    <w:rsid w:val="00712F3A"/>
    <w:rPr>
      <w:rFonts w:asciiTheme="majorHAnsi" w:hAnsiTheme="majorHAnsi" w:eastAsiaTheme="majorEastAsia" w:cstheme="majorBidi"/>
      <w:i/>
      <w:iCs/>
      <w:color w:val="2F5496" w:themeColor="accent1" w:themeShade="BF"/>
      <w:lang w:val="sk-SK"/>
    </w:rPr>
  </w:style>
  <w:style w:type="character" w:styleId="Nadpis5Char" w:customStyle="1">
    <w:name w:val="Nadpis 5 Char"/>
    <w:basedOn w:val="Predvolenpsmoodseku"/>
    <w:link w:val="Nadpis5"/>
    <w:uiPriority w:val="9"/>
    <w:semiHidden/>
    <w:rsid w:val="00712F3A"/>
    <w:rPr>
      <w:rFonts w:asciiTheme="majorHAnsi" w:hAnsiTheme="majorHAnsi" w:eastAsiaTheme="majorEastAsia" w:cstheme="majorBidi"/>
      <w:color w:val="2F5496" w:themeColor="accent1" w:themeShade="BF"/>
      <w:lang w:val="sk-SK"/>
    </w:rPr>
  </w:style>
  <w:style w:type="character" w:styleId="Nadpis6Char" w:customStyle="1">
    <w:name w:val="Nadpis 6 Char"/>
    <w:basedOn w:val="Predvolenpsmoodseku"/>
    <w:link w:val="Nadpis6"/>
    <w:uiPriority w:val="9"/>
    <w:semiHidden/>
    <w:rsid w:val="00712F3A"/>
    <w:rPr>
      <w:rFonts w:asciiTheme="majorHAnsi" w:hAnsiTheme="majorHAnsi" w:eastAsiaTheme="majorEastAsia" w:cstheme="majorBidi"/>
      <w:color w:val="1F3763" w:themeColor="accent1" w:themeShade="7F"/>
      <w:lang w:val="sk-SK"/>
    </w:rPr>
  </w:style>
  <w:style w:type="character" w:styleId="Nadpis7Char" w:customStyle="1">
    <w:name w:val="Nadpis 7 Char"/>
    <w:basedOn w:val="Predvolenpsmoodseku"/>
    <w:link w:val="Nadpis7"/>
    <w:uiPriority w:val="9"/>
    <w:semiHidden/>
    <w:rsid w:val="00712F3A"/>
    <w:rPr>
      <w:rFonts w:asciiTheme="majorHAnsi" w:hAnsiTheme="majorHAnsi" w:eastAsiaTheme="majorEastAsia" w:cstheme="majorBidi"/>
      <w:i/>
      <w:iCs/>
      <w:color w:val="1F3763" w:themeColor="accent1" w:themeShade="7F"/>
      <w:lang w:val="sk-SK"/>
    </w:rPr>
  </w:style>
  <w:style w:type="character" w:styleId="Nadpis8Char" w:customStyle="1">
    <w:name w:val="Nadpis 8 Char"/>
    <w:basedOn w:val="Predvolenpsmoodseku"/>
    <w:link w:val="Nadpis8"/>
    <w:uiPriority w:val="9"/>
    <w:semiHidden/>
    <w:rsid w:val="00712F3A"/>
    <w:rPr>
      <w:rFonts w:asciiTheme="majorHAnsi" w:hAnsiTheme="majorHAnsi" w:eastAsiaTheme="majorEastAsia" w:cstheme="majorBidi"/>
      <w:color w:val="272727" w:themeColor="text1" w:themeTint="D8"/>
      <w:sz w:val="21"/>
      <w:szCs w:val="21"/>
      <w:lang w:val="sk-SK"/>
    </w:rPr>
  </w:style>
  <w:style w:type="character" w:styleId="Nadpis9Char" w:customStyle="1">
    <w:name w:val="Nadpis 9 Char"/>
    <w:basedOn w:val="Predvolenpsmoodseku"/>
    <w:link w:val="Nadpis9"/>
    <w:uiPriority w:val="9"/>
    <w:semiHidden/>
    <w:rsid w:val="00712F3A"/>
    <w:rPr>
      <w:rFonts w:asciiTheme="majorHAnsi" w:hAnsiTheme="majorHAnsi" w:eastAsiaTheme="majorEastAsia" w:cstheme="majorBidi"/>
      <w:i/>
      <w:iCs/>
      <w:color w:val="272727" w:themeColor="text1" w:themeTint="D8"/>
      <w:sz w:val="21"/>
      <w:szCs w:val="21"/>
      <w:lang w:val="sk-SK"/>
    </w:rPr>
  </w:style>
  <w:style w:type="character" w:styleId="Odkaznakomentr">
    <w:name w:val="annotation reference"/>
    <w:basedOn w:val="Predvolenpsmoodseku"/>
    <w:uiPriority w:val="99"/>
    <w:semiHidden/>
    <w:unhideWhenUsed/>
    <w:rsid w:val="00D95CB1"/>
    <w:rPr>
      <w:sz w:val="16"/>
      <w:szCs w:val="16"/>
    </w:rPr>
  </w:style>
  <w:style w:type="paragraph" w:styleId="Textkomentra">
    <w:name w:val="annotation text"/>
    <w:basedOn w:val="Normlny"/>
    <w:link w:val="TextkomentraChar"/>
    <w:uiPriority w:val="99"/>
    <w:semiHidden/>
    <w:unhideWhenUsed/>
    <w:rsid w:val="00D95CB1"/>
    <w:rPr>
      <w:sz w:val="20"/>
      <w:szCs w:val="20"/>
    </w:rPr>
  </w:style>
  <w:style w:type="character" w:styleId="TextkomentraChar" w:customStyle="1">
    <w:name w:val="Text komentára Char"/>
    <w:basedOn w:val="Predvolenpsmoodseku"/>
    <w:link w:val="Textkomentra"/>
    <w:uiPriority w:val="99"/>
    <w:semiHidden/>
    <w:rsid w:val="00D95CB1"/>
    <w:rPr>
      <w:sz w:val="20"/>
      <w:szCs w:val="20"/>
      <w:lang w:val="sk-SK"/>
    </w:rPr>
  </w:style>
  <w:style w:type="paragraph" w:styleId="Predmetkomentra">
    <w:name w:val="annotation subject"/>
    <w:basedOn w:val="Textkomentra"/>
    <w:next w:val="Textkomentra"/>
    <w:link w:val="PredmetkomentraChar"/>
    <w:uiPriority w:val="99"/>
    <w:semiHidden/>
    <w:unhideWhenUsed/>
    <w:rsid w:val="00D95CB1"/>
    <w:rPr>
      <w:b/>
      <w:bCs/>
    </w:rPr>
  </w:style>
  <w:style w:type="character" w:styleId="PredmetkomentraChar" w:customStyle="1">
    <w:name w:val="Predmet komentára Char"/>
    <w:basedOn w:val="TextkomentraChar"/>
    <w:link w:val="Predmetkomentra"/>
    <w:uiPriority w:val="99"/>
    <w:semiHidden/>
    <w:rsid w:val="00D95CB1"/>
    <w:rPr>
      <w:b/>
      <w:bCs/>
      <w:sz w:val="20"/>
      <w:szCs w:val="20"/>
      <w:lang w:val="sk-SK"/>
    </w:rPr>
  </w:style>
  <w:style w:type="paragraph" w:styleId="Textbubliny">
    <w:name w:val="Balloon Text"/>
    <w:basedOn w:val="Normlny"/>
    <w:link w:val="TextbublinyChar"/>
    <w:uiPriority w:val="99"/>
    <w:semiHidden/>
    <w:unhideWhenUsed/>
    <w:rsid w:val="00D95CB1"/>
    <w:pPr>
      <w:spacing w:after="0"/>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D95CB1"/>
    <w:rPr>
      <w:rFonts w:ascii="Segoe UI" w:hAnsi="Segoe UI" w:cs="Segoe UI"/>
      <w:sz w:val="18"/>
      <w:szCs w:val="18"/>
      <w:lang w:val="sk-SK"/>
    </w:rPr>
  </w:style>
  <w:style w:type="paragraph" w:styleId="Popis">
    <w:name w:val="caption"/>
    <w:basedOn w:val="Normlny"/>
    <w:next w:val="Normlny"/>
    <w:uiPriority w:val="35"/>
    <w:unhideWhenUsed/>
    <w:qFormat/>
    <w:rsid w:val="008C0FB0"/>
    <w:pPr>
      <w:spacing w:after="200"/>
    </w:pPr>
    <w:rPr>
      <w:i/>
      <w:iCs/>
      <w:color w:val="44546A" w:themeColor="text2"/>
      <w:sz w:val="18"/>
      <w:szCs w:val="18"/>
    </w:rPr>
  </w:style>
  <w:style w:type="paragraph" w:styleId="Odsekzoznamu">
    <w:name w:val="List Paragraph"/>
    <w:basedOn w:val="Normlny"/>
    <w:uiPriority w:val="34"/>
    <w:qFormat/>
    <w:rsid w:val="00681BCD"/>
    <w:pPr>
      <w:ind w:left="720"/>
      <w:contextualSpacing/>
    </w:pPr>
  </w:style>
  <w:style w:type="table" w:styleId="Mriekatabuky">
    <w:name w:val="Table Grid"/>
    <w:basedOn w:val="Normlnatabuka"/>
    <w:uiPriority w:val="39"/>
    <w:rsid w:val="006407A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7623">
      <w:bodyDiv w:val="1"/>
      <w:marLeft w:val="0"/>
      <w:marRight w:val="0"/>
      <w:marTop w:val="0"/>
      <w:marBottom w:val="0"/>
      <w:divBdr>
        <w:top w:val="none" w:sz="0" w:space="0" w:color="auto"/>
        <w:left w:val="none" w:sz="0" w:space="0" w:color="auto"/>
        <w:bottom w:val="none" w:sz="0" w:space="0" w:color="auto"/>
        <w:right w:val="none" w:sz="0" w:space="0" w:color="auto"/>
      </w:divBdr>
    </w:div>
    <w:div w:id="195970198">
      <w:bodyDiv w:val="1"/>
      <w:marLeft w:val="0"/>
      <w:marRight w:val="0"/>
      <w:marTop w:val="0"/>
      <w:marBottom w:val="0"/>
      <w:divBdr>
        <w:top w:val="none" w:sz="0" w:space="0" w:color="auto"/>
        <w:left w:val="none" w:sz="0" w:space="0" w:color="auto"/>
        <w:bottom w:val="none" w:sz="0" w:space="0" w:color="auto"/>
        <w:right w:val="none" w:sz="0" w:space="0" w:color="auto"/>
      </w:divBdr>
    </w:div>
    <w:div w:id="678701162">
      <w:bodyDiv w:val="1"/>
      <w:marLeft w:val="0"/>
      <w:marRight w:val="0"/>
      <w:marTop w:val="0"/>
      <w:marBottom w:val="0"/>
      <w:divBdr>
        <w:top w:val="none" w:sz="0" w:space="0" w:color="auto"/>
        <w:left w:val="none" w:sz="0" w:space="0" w:color="auto"/>
        <w:bottom w:val="none" w:sz="0" w:space="0" w:color="auto"/>
        <w:right w:val="none" w:sz="0" w:space="0" w:color="auto"/>
      </w:divBdr>
    </w:div>
    <w:div w:id="1609703763">
      <w:bodyDiv w:val="1"/>
      <w:marLeft w:val="0"/>
      <w:marRight w:val="0"/>
      <w:marTop w:val="0"/>
      <w:marBottom w:val="0"/>
      <w:divBdr>
        <w:top w:val="none" w:sz="0" w:space="0" w:color="auto"/>
        <w:left w:val="none" w:sz="0" w:space="0" w:color="auto"/>
        <w:bottom w:val="none" w:sz="0" w:space="0" w:color="auto"/>
        <w:right w:val="none" w:sz="0" w:space="0" w:color="auto"/>
      </w:divBdr>
    </w:div>
    <w:div w:id="19141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EB1220EC3AD45AE92E95EB5B7ECF8" ma:contentTypeVersion="15" ma:contentTypeDescription="Create a new document." ma:contentTypeScope="" ma:versionID="ffb7ec0f37907f75df798b968558d914">
  <xsd:schema xmlns:xsd="http://www.w3.org/2001/XMLSchema" xmlns:xs="http://www.w3.org/2001/XMLSchema" xmlns:p="http://schemas.microsoft.com/office/2006/metadata/properties" xmlns:ns2="7a3427f1-4188-4ffc-b15e-218ce01db3c1" xmlns:ns3="1b9f6857-c0de-4c8c-9943-42dab1d6901a" targetNamespace="http://schemas.microsoft.com/office/2006/metadata/properties" ma:root="true" ma:fieldsID="550f46a7ecb97e6d228f75090b356672" ns2:_="" ns3:_="">
    <xsd:import namespace="7a3427f1-4188-4ffc-b15e-218ce01db3c1"/>
    <xsd:import namespace="1b9f6857-c0de-4c8c-9943-42dab1d69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27f1-4188-4ffc-b15e-218ce01d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792f3-5b38-4311-ac24-b03b8e66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f6857-c0de-4c8c-9943-42dab1d69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1dc1cd-cd6e-45df-b7e8-55e7d5b3f715}" ma:internalName="TaxCatchAll" ma:showField="CatchAllData" ma:web="1b9f6857-c0de-4c8c-9943-42dab1d69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a3427f1-4188-4ffc-b15e-218ce01db3c1" xsi:nil="true"/>
    <SharedWithUsers xmlns="1b9f6857-c0de-4c8c-9943-42dab1d6901a">
      <UserInfo>
        <DisplayName/>
        <AccountId xsi:nil="true"/>
        <AccountType/>
      </UserInfo>
    </SharedWithUsers>
    <lcf76f155ced4ddcb4097134ff3c332f xmlns="7a3427f1-4188-4ffc-b15e-218ce01db3c1">
      <Terms xmlns="http://schemas.microsoft.com/office/infopath/2007/PartnerControls"/>
    </lcf76f155ced4ddcb4097134ff3c332f>
    <TaxCatchAll xmlns="1b9f6857-c0de-4c8c-9943-42dab1d6901a" xsi:nil="true"/>
  </documentManagement>
</p:properties>
</file>

<file path=customXml/itemProps1.xml><?xml version="1.0" encoding="utf-8"?>
<ds:datastoreItem xmlns:ds="http://schemas.openxmlformats.org/officeDocument/2006/customXml" ds:itemID="{ABA04750-C495-402A-B2B2-BEFE0137EF44}">
  <ds:schemaRefs>
    <ds:schemaRef ds:uri="http://schemas.microsoft.com/sharepoint/v3/contenttype/forms"/>
  </ds:schemaRefs>
</ds:datastoreItem>
</file>

<file path=customXml/itemProps2.xml><?xml version="1.0" encoding="utf-8"?>
<ds:datastoreItem xmlns:ds="http://schemas.openxmlformats.org/officeDocument/2006/customXml" ds:itemID="{204BD7DC-AF3D-4CE2-97BE-7A83C6A77CB5}"/>
</file>

<file path=customXml/itemProps3.xml><?xml version="1.0" encoding="utf-8"?>
<ds:datastoreItem xmlns:ds="http://schemas.openxmlformats.org/officeDocument/2006/customXml" ds:itemID="{8F396222-80BF-4094-9865-CCFA20F0319D}">
  <ds:schemaRefs>
    <ds:schemaRef ds:uri="http://schemas.openxmlformats.org/officeDocument/2006/bibliography"/>
  </ds:schemaRefs>
</ds:datastoreItem>
</file>

<file path=customXml/itemProps4.xml><?xml version="1.0" encoding="utf-8"?>
<ds:datastoreItem xmlns:ds="http://schemas.openxmlformats.org/officeDocument/2006/customXml" ds:itemID="{2C630F20-4346-40C5-B8EB-DA6EC2A1E331}">
  <ds:schemaRefs>
    <ds:schemaRef ds:uri="http://purl.org/dc/elements/1.1/"/>
    <ds:schemaRef ds:uri="http://purl.org/dc/terms/"/>
    <ds:schemaRef ds:uri="http://www.w3.org/XML/1998/namespace"/>
    <ds:schemaRef ds:uri="7a3427f1-4188-4ffc-b15e-218ce01db3c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Meltsok</dc:creator>
  <cp:keywords/>
  <dc:description/>
  <cp:lastModifiedBy>ivana.kudriova</cp:lastModifiedBy>
  <cp:revision>182</cp:revision>
  <dcterms:created xsi:type="dcterms:W3CDTF">2021-08-13T14:23:00Z</dcterms:created>
  <dcterms:modified xsi:type="dcterms:W3CDTF">2022-04-27T11:54:26Z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0x010100A28EB1220EC3AD45AE92E95EB5B7ECF8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425600</vt:r8>
  </property>
  <property fmtid="{D5CDD505-2E9C-101B-9397-08002B2CF9AE}" pid="10" name="_SourceUrl">
    <vt:lpwstr/>
  </property>
  <property fmtid="{D5CDD505-2E9C-101B-9397-08002B2CF9AE}" pid="11" name="_SharedFileIndex">
    <vt:lpwstr/>
  </property>
</Properties>
</file>