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A381" w14:textId="28001FBA" w:rsidR="007877F0" w:rsidRDefault="00A106B4" w:rsidP="00671889">
      <w:pPr>
        <w:pStyle w:val="Nadpis1"/>
      </w:pPr>
      <w:r w:rsidRPr="008D32E4">
        <w:t>M15.</w:t>
      </w:r>
      <w:r w:rsidR="000B62F2">
        <w:t>504</w:t>
      </w:r>
      <w:r w:rsidR="002F5A9D" w:rsidRPr="008D32E4">
        <w:t xml:space="preserve">. </w:t>
      </w:r>
      <w:r w:rsidR="00AD4A0D" w:rsidRPr="008D32E4">
        <w:t>Poskytovanie nenávratných finančných výpomoc</w:t>
      </w:r>
      <w:r w:rsidR="00971086">
        <w:t>í</w:t>
      </w:r>
      <w:r w:rsidR="00AD4A0D" w:rsidRPr="008D32E4">
        <w:t xml:space="preserve"> </w:t>
      </w:r>
      <w:r w:rsidR="00E0582A" w:rsidRPr="008D32E4">
        <w:t>–</w:t>
      </w:r>
      <w:r w:rsidR="00AD4A0D" w:rsidRPr="008D32E4">
        <w:t xml:space="preserve"> </w:t>
      </w:r>
      <w:r w:rsidR="00F71424" w:rsidRPr="008D32E4">
        <w:t>nás</w:t>
      </w:r>
      <w:r w:rsidR="00E0582A" w:rsidRPr="008D32E4">
        <w:t>ledné kontroly</w:t>
      </w:r>
    </w:p>
    <w:p w14:paraId="325F2453" w14:textId="37817060" w:rsidR="0032740F" w:rsidRPr="0032740F" w:rsidRDefault="006C478C" w:rsidP="0032740F">
      <w:r>
        <w:rPr>
          <w:noProof/>
        </w:rPr>
        <w:drawing>
          <wp:inline distT="0" distB="0" distL="0" distR="0" wp14:anchorId="7BC0F088" wp14:editId="22C482D0">
            <wp:extent cx="5943600" cy="4646295"/>
            <wp:effectExtent l="0" t="0" r="0" b="190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646295"/>
                    </a:xfrm>
                    <a:prstGeom prst="rect">
                      <a:avLst/>
                    </a:prstGeom>
                  </pic:spPr>
                </pic:pic>
              </a:graphicData>
            </a:graphic>
          </wp:inline>
        </w:drawing>
      </w:r>
    </w:p>
    <w:p w14:paraId="55691C47" w14:textId="230E88B1" w:rsidR="00A127B2" w:rsidRPr="008D32E4" w:rsidRDefault="00A127B2" w:rsidP="00581C2E">
      <w:pPr>
        <w:pStyle w:val="Popis"/>
        <w:rPr>
          <w:rFonts w:cstheme="minorHAnsi"/>
        </w:rPr>
      </w:pPr>
      <w:r w:rsidRPr="008D32E4">
        <w:rPr>
          <w:rFonts w:cstheme="minorHAnsi"/>
        </w:rPr>
        <w:t xml:space="preserve">Obrázok </w:t>
      </w:r>
      <w:r w:rsidRPr="008D32E4">
        <w:rPr>
          <w:rFonts w:cstheme="minorHAnsi"/>
        </w:rPr>
        <w:fldChar w:fldCharType="begin"/>
      </w:r>
      <w:r w:rsidRPr="008D32E4">
        <w:rPr>
          <w:rFonts w:cstheme="minorHAnsi"/>
        </w:rPr>
        <w:instrText xml:space="preserve"> SEQ Obrázok \* ARABIC </w:instrText>
      </w:r>
      <w:r w:rsidRPr="008D32E4">
        <w:rPr>
          <w:rFonts w:cstheme="minorHAnsi"/>
        </w:rPr>
        <w:fldChar w:fldCharType="separate"/>
      </w:r>
      <w:r w:rsidRPr="008D32E4">
        <w:rPr>
          <w:rFonts w:cstheme="minorHAnsi"/>
        </w:rPr>
        <w:t>1</w:t>
      </w:r>
      <w:r w:rsidRPr="008D32E4">
        <w:rPr>
          <w:rFonts w:cstheme="minorHAnsi"/>
        </w:rPr>
        <w:fldChar w:fldCharType="end"/>
      </w:r>
      <w:r w:rsidRPr="008D32E4">
        <w:rPr>
          <w:rFonts w:cstheme="minorHAnsi"/>
        </w:rPr>
        <w:t xml:space="preserve"> "</w:t>
      </w:r>
      <w:r w:rsidR="00AD4A0D" w:rsidRPr="008D32E4">
        <w:rPr>
          <w:rFonts w:cstheme="minorHAnsi"/>
        </w:rPr>
        <w:t>Poskytovanie nenávratných finančných výpomoc</w:t>
      </w:r>
      <w:r w:rsidR="00971086">
        <w:rPr>
          <w:rFonts w:cstheme="minorHAnsi"/>
        </w:rPr>
        <w:t>í</w:t>
      </w:r>
      <w:r w:rsidR="00AD4A0D" w:rsidRPr="008D32E4">
        <w:rPr>
          <w:rFonts w:cstheme="minorHAnsi"/>
        </w:rPr>
        <w:t xml:space="preserve"> – </w:t>
      </w:r>
      <w:r w:rsidR="00E0582A" w:rsidRPr="008D32E4">
        <w:rPr>
          <w:rFonts w:cstheme="minorHAnsi"/>
        </w:rPr>
        <w:t>následné kontroly</w:t>
      </w:r>
      <w:r w:rsidR="00AD4A0D" w:rsidRPr="008D32E4">
        <w:rPr>
          <w:rFonts w:cstheme="minorHAnsi"/>
        </w:rPr>
        <w:t>“</w:t>
      </w:r>
    </w:p>
    <w:p w14:paraId="1303BA80" w14:textId="77777777" w:rsidR="006B7BDF" w:rsidRDefault="006B7BDF">
      <w:pPr>
        <w:ind w:left="720" w:hanging="720"/>
        <w:rPr>
          <w:rFonts w:cstheme="minorHAnsi"/>
        </w:rPr>
      </w:pPr>
      <w:r>
        <w:rPr>
          <w:rFonts w:cstheme="minorHAnsi"/>
        </w:rPr>
        <w:object w:dxaOrig="1520" w:dyaOrig="985" w14:anchorId="71565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25pt" o:ole="">
            <v:imagedata r:id="rId12" o:title=""/>
          </v:shape>
          <o:OLEObject Type="Embed" ProgID="Package" ShapeID="_x0000_i1025" DrawAspect="Icon" ObjectID="_1711342818" r:id="rId13"/>
        </w:object>
      </w:r>
    </w:p>
    <w:p w14:paraId="175DAE02" w14:textId="77777777" w:rsidR="006B7BDF" w:rsidRDefault="006B7BDF" w:rsidP="006B7BDF">
      <w:pPr>
        <w:keepNext/>
      </w:pPr>
      <w:r>
        <w:rPr>
          <w:rFonts w:cstheme="minorHAnsi"/>
          <w:noProof/>
        </w:rPr>
        <w:lastRenderedPageBreak/>
        <w:drawing>
          <wp:inline distT="0" distB="0" distL="0" distR="0" wp14:anchorId="34B98D8F" wp14:editId="4D7871CD">
            <wp:extent cx="5943600" cy="17780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778000"/>
                    </a:xfrm>
                    <a:prstGeom prst="rect">
                      <a:avLst/>
                    </a:prstGeom>
                  </pic:spPr>
                </pic:pic>
              </a:graphicData>
            </a:graphic>
          </wp:inline>
        </w:drawing>
      </w:r>
    </w:p>
    <w:p w14:paraId="7FE95046" w14:textId="77777777" w:rsidR="006B7BDF" w:rsidRDefault="006B7BDF" w:rsidP="006B7BDF">
      <w:pPr>
        <w:pStyle w:val="Popis"/>
        <w:rPr>
          <w:rFonts w:cstheme="minorHAnsi"/>
        </w:rPr>
      </w:pPr>
      <w:r>
        <w:t xml:space="preserve">Obrázok </w:t>
      </w:r>
      <w:r>
        <w:fldChar w:fldCharType="begin"/>
      </w:r>
      <w:r>
        <w:instrText xml:space="preserve"> SEQ Obrázok \* ARABIC </w:instrText>
      </w:r>
      <w:r>
        <w:fldChar w:fldCharType="separate"/>
      </w:r>
      <w:r>
        <w:rPr>
          <w:noProof/>
        </w:rPr>
        <w:t>2</w:t>
      </w:r>
      <w:r>
        <w:fldChar w:fldCharType="end"/>
      </w:r>
      <w:r>
        <w:t xml:space="preserve"> „Prepojenie rozpočtového opatrenia na doklad zmluvy“</w:t>
      </w:r>
    </w:p>
    <w:p w14:paraId="60E461F1" w14:textId="1883CAB2" w:rsidR="007877F0" w:rsidRPr="008D32E4" w:rsidRDefault="00701B97">
      <w:pPr>
        <w:ind w:left="720" w:hanging="720"/>
        <w:rPr>
          <w:rFonts w:cstheme="minorHAnsi"/>
        </w:rPr>
      </w:pPr>
      <w:r w:rsidRPr="008D32E4">
        <w:rPr>
          <w:rFonts w:cstheme="minorHAnsi"/>
        </w:rPr>
        <w:br w:type="page"/>
      </w:r>
    </w:p>
    <w:p w14:paraId="4EEF77F3" w14:textId="555EFE72" w:rsidR="00F94FD3" w:rsidRPr="008D32E4" w:rsidRDefault="00F94FD3" w:rsidP="00581C2E">
      <w:pPr>
        <w:pStyle w:val="Nadpis2"/>
        <w:rPr>
          <w:rFonts w:asciiTheme="minorHAnsi" w:hAnsiTheme="minorHAnsi" w:cstheme="minorHAnsi"/>
        </w:rPr>
      </w:pPr>
      <w:r w:rsidRPr="008D32E4">
        <w:rPr>
          <w:rFonts w:asciiTheme="minorHAnsi" w:hAnsiTheme="minorHAnsi" w:cstheme="minorHAnsi"/>
        </w:rPr>
        <w:t xml:space="preserve">Popis procesu </w:t>
      </w:r>
    </w:p>
    <w:p w14:paraId="3D496254" w14:textId="05A82A56" w:rsidR="00592090" w:rsidRPr="008D32E4" w:rsidRDefault="00297EAB" w:rsidP="004808B2">
      <w:pPr>
        <w:spacing w:after="240"/>
        <w:jc w:val="both"/>
        <w:rPr>
          <w:rFonts w:cstheme="minorHAnsi"/>
        </w:rPr>
      </w:pPr>
      <w:r w:rsidRPr="008D32E4">
        <w:rPr>
          <w:rFonts w:cstheme="minorHAnsi"/>
        </w:rPr>
        <w:t>Po vyúčtovaní</w:t>
      </w:r>
      <w:r w:rsidR="00BD750D" w:rsidRPr="008D32E4">
        <w:rPr>
          <w:rFonts w:cstheme="minorHAnsi"/>
        </w:rPr>
        <w:t xml:space="preserve"> poskytnutých nenávratných finančných výpomoc</w:t>
      </w:r>
      <w:r w:rsidR="00971086">
        <w:rPr>
          <w:rFonts w:cstheme="minorHAnsi"/>
        </w:rPr>
        <w:t>í</w:t>
      </w:r>
      <w:r w:rsidR="00BD750D" w:rsidRPr="008D32E4">
        <w:rPr>
          <w:rFonts w:cstheme="minorHAnsi"/>
        </w:rPr>
        <w:t xml:space="preserve"> </w:t>
      </w:r>
      <w:r w:rsidR="000549D6" w:rsidRPr="008D32E4">
        <w:rPr>
          <w:rFonts w:cstheme="minorHAnsi"/>
        </w:rPr>
        <w:t>prebiehajú aj následne kontroly využitia prostriedkov. V</w:t>
      </w:r>
      <w:r w:rsidR="00DD0BC1" w:rsidRPr="008D32E4">
        <w:rPr>
          <w:rFonts w:cstheme="minorHAnsi"/>
        </w:rPr>
        <w:t>ý</w:t>
      </w:r>
      <w:r w:rsidR="000549D6" w:rsidRPr="008D32E4">
        <w:rPr>
          <w:rFonts w:cstheme="minorHAnsi"/>
        </w:rPr>
        <w:t>sledkom týchto kontrol môže byť</w:t>
      </w:r>
      <w:r w:rsidR="00A46457" w:rsidRPr="008D32E4">
        <w:rPr>
          <w:rFonts w:cstheme="minorHAnsi"/>
        </w:rPr>
        <w:t>:</w:t>
      </w:r>
    </w:p>
    <w:p w14:paraId="0327C8F0" w14:textId="59E84B65" w:rsidR="00A46457" w:rsidRPr="008D32E4" w:rsidRDefault="00A46457" w:rsidP="004808B2">
      <w:pPr>
        <w:pStyle w:val="Odsekzoznamu"/>
        <w:numPr>
          <w:ilvl w:val="0"/>
          <w:numId w:val="26"/>
        </w:numPr>
        <w:jc w:val="both"/>
        <w:rPr>
          <w:rFonts w:cstheme="minorHAnsi"/>
        </w:rPr>
      </w:pPr>
      <w:bookmarkStart w:id="0" w:name="_Hlk87616820"/>
      <w:r w:rsidRPr="008D32E4">
        <w:rPr>
          <w:rFonts w:cstheme="minorHAnsi"/>
        </w:rPr>
        <w:t>Dodatočná identifikácia neoprávnených výdavkov (</w:t>
      </w:r>
      <w:r w:rsidR="00F86547" w:rsidRPr="008D32E4">
        <w:rPr>
          <w:rFonts w:cstheme="minorHAnsi"/>
        </w:rPr>
        <w:t>generovanie pohľadávok voči prijímateľovi)</w:t>
      </w:r>
    </w:p>
    <w:p w14:paraId="0188EE56" w14:textId="31E0DA81" w:rsidR="00F86547" w:rsidRPr="008D32E4" w:rsidRDefault="005E258B" w:rsidP="004808B2">
      <w:pPr>
        <w:pStyle w:val="Odsekzoznamu"/>
        <w:numPr>
          <w:ilvl w:val="0"/>
          <w:numId w:val="26"/>
        </w:numPr>
        <w:jc w:val="both"/>
        <w:rPr>
          <w:rFonts w:cstheme="minorHAnsi"/>
        </w:rPr>
      </w:pPr>
      <w:r w:rsidRPr="008D32E4">
        <w:rPr>
          <w:rFonts w:cstheme="minorHAnsi"/>
        </w:rPr>
        <w:t>Uznanie neoprávnených výdavkov, ktoré v predchádzajúcom vyúčtovaní neboli uznané (generovanie záväzku voči prijímateľovi</w:t>
      </w:r>
      <w:bookmarkEnd w:id="0"/>
      <w:r w:rsidRPr="008D32E4">
        <w:rPr>
          <w:rFonts w:cstheme="minorHAnsi"/>
        </w:rPr>
        <w:t>)</w:t>
      </w:r>
      <w:r w:rsidR="008D32E4">
        <w:rPr>
          <w:rFonts w:cstheme="minorHAnsi"/>
        </w:rPr>
        <w:t>.</w:t>
      </w:r>
    </w:p>
    <w:p w14:paraId="26E8C86B" w14:textId="77777777" w:rsidR="00F86547" w:rsidRPr="008D32E4" w:rsidRDefault="00F86547" w:rsidP="004808B2">
      <w:pPr>
        <w:pStyle w:val="Odsekzoznamu"/>
        <w:jc w:val="both"/>
        <w:rPr>
          <w:rFonts w:cstheme="minorHAnsi"/>
        </w:rPr>
      </w:pPr>
    </w:p>
    <w:p w14:paraId="3785FE03" w14:textId="77777777" w:rsidR="00A46457" w:rsidRPr="008D32E4" w:rsidRDefault="00A46457" w:rsidP="004808B2">
      <w:pPr>
        <w:pStyle w:val="Odsekzoznamu"/>
        <w:jc w:val="both"/>
        <w:rPr>
          <w:rFonts w:cstheme="minorHAnsi"/>
        </w:rPr>
      </w:pPr>
    </w:p>
    <w:p w14:paraId="2E891FC5" w14:textId="6E503CE7" w:rsidR="0029028B" w:rsidRDefault="005E258B" w:rsidP="0029028B">
      <w:pPr>
        <w:jc w:val="both"/>
        <w:rPr>
          <w:rFonts w:cstheme="minorHAnsi"/>
        </w:rPr>
      </w:pPr>
      <w:r w:rsidRPr="008D32E4">
        <w:rPr>
          <w:rFonts w:cstheme="minorHAnsi"/>
        </w:rPr>
        <w:t xml:space="preserve">Samotné kontroly </w:t>
      </w:r>
      <w:r w:rsidR="00956E82" w:rsidRPr="008D32E4">
        <w:rPr>
          <w:rFonts w:cstheme="minorHAnsi"/>
        </w:rPr>
        <w:t xml:space="preserve">a následne podklady vyhodnotenia týchto </w:t>
      </w:r>
      <w:r w:rsidR="008D32E4" w:rsidRPr="008D32E4">
        <w:rPr>
          <w:rFonts w:cstheme="minorHAnsi"/>
        </w:rPr>
        <w:t>kontrol</w:t>
      </w:r>
      <w:r w:rsidR="008617C3" w:rsidRPr="008D32E4">
        <w:rPr>
          <w:rFonts w:cstheme="minorHAnsi"/>
        </w:rPr>
        <w:t xml:space="preserve"> nebudú podporené systémom CES.</w:t>
      </w:r>
      <w:r w:rsidR="003B158B">
        <w:rPr>
          <w:rFonts w:cstheme="minorHAnsi"/>
        </w:rPr>
        <w:t xml:space="preserve"> </w:t>
      </w:r>
    </w:p>
    <w:p w14:paraId="48883E82" w14:textId="77777777" w:rsidR="003B158B" w:rsidRDefault="003B158B" w:rsidP="004808B2">
      <w:pPr>
        <w:jc w:val="both"/>
        <w:rPr>
          <w:rFonts w:cstheme="minorHAnsi"/>
        </w:rPr>
      </w:pPr>
      <w:r w:rsidRPr="00086241">
        <w:rPr>
          <w:rFonts w:cstheme="minorHAnsi"/>
        </w:rPr>
        <w:t>Vstupom do pre evidenciu pohľadávok záväzkov budú výstupy týchto kontrol s vykonanou základnou finančnou kontrolou mimo systém CES. Základná finančná kontrola bude zahrňovať aj vyjadrenie za časť finančnej operácie pre platobný poukaz. Vykonanie základnej finančnej kontroly bude pred vstupom do informačného systému CES, respektíve ak bude potreba spustenia ďalšieho vyjadrenia na systéme CES, bude to riešené už v konkrétnych procesoch príslušných modulov.</w:t>
      </w:r>
    </w:p>
    <w:p w14:paraId="28F8509E" w14:textId="2EDC8FD8" w:rsidR="004D61EB" w:rsidRPr="008D32E4" w:rsidRDefault="00BD750D" w:rsidP="004808B2">
      <w:pPr>
        <w:jc w:val="both"/>
        <w:rPr>
          <w:rFonts w:cstheme="minorHAnsi"/>
        </w:rPr>
      </w:pPr>
      <w:r w:rsidRPr="008D32E4">
        <w:rPr>
          <w:rFonts w:cstheme="minorHAnsi"/>
        </w:rPr>
        <w:t xml:space="preserve">Na základe výsledku </w:t>
      </w:r>
      <w:r w:rsidR="00C005F2" w:rsidRPr="008D32E4">
        <w:rPr>
          <w:rFonts w:cstheme="minorHAnsi"/>
        </w:rPr>
        <w:t>následných kontrol použitia prostri</w:t>
      </w:r>
      <w:r w:rsidR="00214118" w:rsidRPr="008D32E4">
        <w:rPr>
          <w:rFonts w:cstheme="minorHAnsi"/>
        </w:rPr>
        <w:t>e</w:t>
      </w:r>
      <w:r w:rsidR="00C005F2" w:rsidRPr="008D32E4">
        <w:rPr>
          <w:rFonts w:cstheme="minorHAnsi"/>
        </w:rPr>
        <w:t>dkov z</w:t>
      </w:r>
      <w:r w:rsidR="00214118" w:rsidRPr="008D32E4">
        <w:rPr>
          <w:rFonts w:cstheme="minorHAnsi"/>
        </w:rPr>
        <w:t> </w:t>
      </w:r>
      <w:r w:rsidR="00C005F2" w:rsidRPr="008D32E4">
        <w:rPr>
          <w:rFonts w:cstheme="minorHAnsi"/>
        </w:rPr>
        <w:t>nenávr</w:t>
      </w:r>
      <w:r w:rsidR="00214118" w:rsidRPr="008D32E4">
        <w:rPr>
          <w:rFonts w:cstheme="minorHAnsi"/>
        </w:rPr>
        <w:t>atnej finančnej výpomoc</w:t>
      </w:r>
      <w:r w:rsidR="00971086">
        <w:rPr>
          <w:rFonts w:cstheme="minorHAnsi"/>
        </w:rPr>
        <w:t>í</w:t>
      </w:r>
      <w:r w:rsidR="00214118" w:rsidRPr="008D32E4">
        <w:rPr>
          <w:rFonts w:cstheme="minorHAnsi"/>
        </w:rPr>
        <w:t xml:space="preserve"> </w:t>
      </w:r>
      <w:r w:rsidR="004D61EB" w:rsidRPr="008D32E4">
        <w:rPr>
          <w:rFonts w:cstheme="minorHAnsi"/>
        </w:rPr>
        <w:t>vznikajú nasledovné prípady:</w:t>
      </w:r>
    </w:p>
    <w:p w14:paraId="7AC89CCC" w14:textId="399C329C" w:rsidR="00BD750D" w:rsidRPr="008D32E4" w:rsidRDefault="00BD750D" w:rsidP="0091225E">
      <w:pPr>
        <w:pStyle w:val="Odsekzoznamu"/>
        <w:numPr>
          <w:ilvl w:val="0"/>
          <w:numId w:val="28"/>
        </w:numPr>
        <w:spacing w:after="240"/>
        <w:ind w:left="714" w:hanging="357"/>
        <w:jc w:val="both"/>
        <w:rPr>
          <w:rFonts w:cstheme="minorHAnsi"/>
        </w:rPr>
      </w:pPr>
      <w:r w:rsidRPr="008D32E4">
        <w:rPr>
          <w:rFonts w:cstheme="minorHAnsi"/>
        </w:rPr>
        <w:t>Potreba evidencie záväzkov voči prijímateľovi</w:t>
      </w:r>
    </w:p>
    <w:p w14:paraId="6D48636D" w14:textId="00681057" w:rsidR="00BD750D" w:rsidRPr="008D32E4" w:rsidRDefault="00BD750D" w:rsidP="0091225E">
      <w:pPr>
        <w:spacing w:after="240"/>
        <w:ind w:firstLine="357"/>
        <w:jc w:val="both"/>
        <w:rPr>
          <w:rFonts w:cstheme="minorHAnsi"/>
        </w:rPr>
      </w:pPr>
      <w:r w:rsidRPr="008D32E4">
        <w:rPr>
          <w:rFonts w:cstheme="minorHAnsi"/>
        </w:rPr>
        <w:t>Podľa spôsobu úhrady:</w:t>
      </w:r>
    </w:p>
    <w:p w14:paraId="47A4DE8D" w14:textId="6A418B4B" w:rsidR="00BD750D" w:rsidRPr="008D32E4" w:rsidRDefault="00BD750D" w:rsidP="004808B2">
      <w:pPr>
        <w:pStyle w:val="Odsekzoznamu"/>
        <w:numPr>
          <w:ilvl w:val="0"/>
          <w:numId w:val="24"/>
        </w:numPr>
        <w:jc w:val="both"/>
        <w:rPr>
          <w:rFonts w:cstheme="minorHAnsi"/>
        </w:rPr>
      </w:pPr>
      <w:r w:rsidRPr="008D32E4">
        <w:rPr>
          <w:rFonts w:cstheme="minorHAnsi"/>
          <w:b/>
        </w:rPr>
        <w:t>Evidenciou a vysporiadaním záväzku v oblasti finančného účtovníctva</w:t>
      </w:r>
      <w:r w:rsidRPr="008D32E4">
        <w:rPr>
          <w:rFonts w:cstheme="minorHAnsi"/>
        </w:rPr>
        <w:t xml:space="preserve"> – pre procesy úhrad medzi inými organizáciami ako sú rozpočtové organizácie. </w:t>
      </w:r>
      <w:r w:rsidR="008E3569" w:rsidRPr="008D32E4">
        <w:rPr>
          <w:rFonts w:cstheme="minorHAnsi"/>
        </w:rPr>
        <w:t xml:space="preserve">Pri rozpočtových organizáciách napríklad v prípade,  že sa nejedná o prostriedky na výdavkovom účte (prostriedky na samostatnom účte). </w:t>
      </w:r>
      <w:r w:rsidRPr="008D32E4">
        <w:rPr>
          <w:rFonts w:cstheme="minorHAnsi"/>
        </w:rPr>
        <w:t>Pri spracovaní úhrad sa využívajú nasledovné procesy</w:t>
      </w:r>
      <w:r w:rsidR="008D32E4">
        <w:rPr>
          <w:rFonts w:cstheme="minorHAnsi"/>
        </w:rPr>
        <w:t>:</w:t>
      </w:r>
    </w:p>
    <w:p w14:paraId="1AFA9E38" w14:textId="77777777" w:rsidR="00BD750D" w:rsidRPr="008D32E4" w:rsidRDefault="00BD750D" w:rsidP="004808B2">
      <w:pPr>
        <w:pStyle w:val="Odsekzoznamu"/>
        <w:numPr>
          <w:ilvl w:val="1"/>
          <w:numId w:val="22"/>
        </w:numPr>
        <w:jc w:val="both"/>
        <w:rPr>
          <w:rFonts w:cstheme="minorHAnsi"/>
        </w:rPr>
      </w:pPr>
      <w:r w:rsidRPr="008D32E4">
        <w:rPr>
          <w:rFonts w:cstheme="minorHAnsi"/>
        </w:rPr>
        <w:t>M18.030. Zadanie záväzku v FI  - pre evidenciu záväzku voči prijímateľovi manuálne používateľom</w:t>
      </w:r>
    </w:p>
    <w:p w14:paraId="2A021A98" w14:textId="271AACE0" w:rsidR="00BD750D" w:rsidRPr="008D32E4" w:rsidRDefault="00BD750D" w:rsidP="004808B2">
      <w:pPr>
        <w:pStyle w:val="Odsekzoznamu"/>
        <w:numPr>
          <w:ilvl w:val="1"/>
          <w:numId w:val="22"/>
        </w:numPr>
        <w:jc w:val="both"/>
        <w:rPr>
          <w:rFonts w:cstheme="minorHAnsi"/>
        </w:rPr>
      </w:pPr>
      <w:r w:rsidRPr="008D32E4">
        <w:rPr>
          <w:rFonts w:cstheme="minorHAnsi"/>
        </w:rPr>
        <w:t>M18.033. Zadanie záväzku importom z externého prostredia</w:t>
      </w:r>
      <w:r w:rsidR="008D32E4">
        <w:rPr>
          <w:rFonts w:cstheme="minorHAnsi"/>
        </w:rPr>
        <w:t xml:space="preserve"> </w:t>
      </w:r>
      <w:r w:rsidRPr="008D32E4">
        <w:rPr>
          <w:rFonts w:cstheme="minorHAnsi"/>
        </w:rPr>
        <w:t>- nahratie údajov pomocou používateľskej transakcie z výmennej štruktúry. Táto výmenná štruktúra môže byť výstupom z dotačného systému alebo pripravená manuálne referentom za poskytované dotácie</w:t>
      </w:r>
      <w:r w:rsidR="00C30770">
        <w:rPr>
          <w:rFonts w:cstheme="minorHAnsi"/>
        </w:rPr>
        <w:t>.</w:t>
      </w:r>
    </w:p>
    <w:p w14:paraId="2DC2F935" w14:textId="0B81A36E" w:rsidR="00BD750D" w:rsidRPr="008D32E4" w:rsidRDefault="00BD750D" w:rsidP="004808B2">
      <w:pPr>
        <w:pStyle w:val="Odsekzoznamu"/>
        <w:numPr>
          <w:ilvl w:val="1"/>
          <w:numId w:val="22"/>
        </w:numPr>
        <w:jc w:val="both"/>
        <w:rPr>
          <w:rFonts w:cstheme="minorHAnsi"/>
        </w:rPr>
      </w:pPr>
      <w:r w:rsidRPr="008D32E4">
        <w:rPr>
          <w:rFonts w:cstheme="minorHAnsi"/>
        </w:rPr>
        <w:t xml:space="preserve">M18.032. Vysporiadanie záväzkov.01.  - následne je potrebné každý záväzok vysporiadať </w:t>
      </w:r>
      <w:r w:rsidR="00434D9D">
        <w:rPr>
          <w:rFonts w:cstheme="minorHAnsi"/>
        </w:rPr>
        <w:t>s</w:t>
      </w:r>
      <w:r w:rsidRPr="008D32E4">
        <w:rPr>
          <w:rFonts w:cstheme="minorHAnsi"/>
        </w:rPr>
        <w:t> využitím procesu v oblasti finančného účtovníctva.</w:t>
      </w:r>
    </w:p>
    <w:p w14:paraId="2BDF44BD" w14:textId="5AAD7DDF" w:rsidR="00BD750D" w:rsidRPr="008D32E4" w:rsidRDefault="00BD750D" w:rsidP="004808B2">
      <w:pPr>
        <w:pStyle w:val="Odsekzoznamu"/>
        <w:numPr>
          <w:ilvl w:val="0"/>
          <w:numId w:val="22"/>
        </w:numPr>
        <w:jc w:val="both"/>
        <w:rPr>
          <w:rFonts w:cstheme="minorHAnsi"/>
        </w:rPr>
      </w:pPr>
      <w:r w:rsidRPr="008D32E4">
        <w:rPr>
          <w:rFonts w:cstheme="minorHAnsi"/>
          <w:b/>
        </w:rPr>
        <w:t>Úhrada rozpočtovým opatrením v oblasti rozpočtu</w:t>
      </w:r>
      <w:r w:rsidRPr="008D32E4">
        <w:rPr>
          <w:rFonts w:cstheme="minorHAnsi"/>
        </w:rPr>
        <w:t xml:space="preserve"> – úhrada sa využíva</w:t>
      </w:r>
      <w:r w:rsidR="008E3569" w:rsidRPr="008D32E4">
        <w:rPr>
          <w:rFonts w:cstheme="minorHAnsi"/>
        </w:rPr>
        <w:t xml:space="preserve"> väčšinou </w:t>
      </w:r>
      <w:r w:rsidRPr="008D32E4">
        <w:rPr>
          <w:rFonts w:cstheme="minorHAnsi"/>
        </w:rPr>
        <w:t>medzi rozpočtovým organizáciami. V rámci procesu na základe získaných podkladov od referenta poskytovaných nenávratných finančných prostriedkov</w:t>
      </w:r>
      <w:r w:rsidR="0091225E" w:rsidRPr="008D32E4">
        <w:rPr>
          <w:rFonts w:cstheme="minorHAnsi"/>
        </w:rPr>
        <w:t>,</w:t>
      </w:r>
      <w:r w:rsidRPr="008D32E4">
        <w:rPr>
          <w:rFonts w:cstheme="minorHAnsi"/>
        </w:rPr>
        <w:t xml:space="preserve"> rozpočtár v systéme RIS pripraví </w:t>
      </w:r>
      <w:r w:rsidR="00671889">
        <w:rPr>
          <w:rFonts w:cstheme="minorHAnsi"/>
        </w:rPr>
        <w:t>ELÚR</w:t>
      </w:r>
      <w:r w:rsidRPr="008D32E4">
        <w:rPr>
          <w:rFonts w:cstheme="minorHAnsi"/>
        </w:rPr>
        <w:t xml:space="preserve">. V rámci systému RIS taktiež prebiehajú kontroly, schvaľovacie procesy a tiež proces základnej finančnej kontroly pre úpravy rozpočtu organizácie. Po aktivácii rozpočtového opatrenia sa prenesie rozpočtové opatrenie do </w:t>
      </w:r>
      <w:r w:rsidR="00B14883" w:rsidRPr="008D32E4">
        <w:rPr>
          <w:rFonts w:cstheme="minorHAnsi"/>
        </w:rPr>
        <w:t>systému CES</w:t>
      </w:r>
      <w:r w:rsidRPr="008D32E4">
        <w:rPr>
          <w:rFonts w:cstheme="minorHAnsi"/>
        </w:rPr>
        <w:t>, kde jeho spracovanie pokračuje procesom:</w:t>
      </w:r>
    </w:p>
    <w:p w14:paraId="18DE2A4B" w14:textId="74ECD0CE" w:rsidR="00F05EEB" w:rsidRDefault="00BD750D" w:rsidP="004808B2">
      <w:pPr>
        <w:pStyle w:val="Odsekzoznamu"/>
        <w:numPr>
          <w:ilvl w:val="1"/>
          <w:numId w:val="22"/>
        </w:numPr>
        <w:jc w:val="both"/>
        <w:rPr>
          <w:rFonts w:cstheme="minorHAnsi"/>
        </w:rPr>
      </w:pPr>
      <w:r w:rsidRPr="008D32E4">
        <w:rPr>
          <w:rFonts w:cstheme="minorHAnsi"/>
        </w:rPr>
        <w:t>M15.103.Spracovanie rozpočtu – proces spracovania rozpočtového opatrenia môže byť plne automaticky alebo s potrebným zásahom referenta rozpočtu v súlade s nastavením systému pre konkrétnu organizáciu</w:t>
      </w:r>
      <w:r w:rsidR="009E2E5C" w:rsidRPr="008D32E4">
        <w:rPr>
          <w:rFonts w:cstheme="minorHAnsi"/>
        </w:rPr>
        <w:t>.</w:t>
      </w:r>
      <w:r w:rsidR="003B158B">
        <w:rPr>
          <w:rFonts w:cstheme="minorHAnsi"/>
        </w:rPr>
        <w:t xml:space="preserve"> </w:t>
      </w:r>
      <w:r w:rsidR="003B158B" w:rsidRPr="00581A65">
        <w:rPr>
          <w:rFonts w:cstheme="minorHAnsi"/>
        </w:rPr>
        <w:t xml:space="preserve">Následne je potrebné vytvoriť manuálne  prepojenie rozpočtového opatrenia a plnenia zmluvy. Po prijatí </w:t>
      </w:r>
      <w:r w:rsidR="003B158B" w:rsidRPr="00086241">
        <w:rPr>
          <w:rFonts w:cstheme="minorHAnsi"/>
        </w:rPr>
        <w:t>ELÚRu</w:t>
      </w:r>
      <w:r w:rsidR="003B158B" w:rsidRPr="00581A65">
        <w:rPr>
          <w:rFonts w:cstheme="minorHAnsi"/>
        </w:rPr>
        <w:t xml:space="preserve"> bude rozpočtár prepájať doklad rozpočtového dokladu (ELÚRu) s položkou rezervačného dokladu (zmluva CEZ). Týmto sa zabezpečí </w:t>
      </w:r>
      <w:r w:rsidR="003B158B">
        <w:rPr>
          <w:rFonts w:cstheme="minorHAnsi"/>
        </w:rPr>
        <w:t>reálne plnenie</w:t>
      </w:r>
      <w:r w:rsidR="003B158B" w:rsidRPr="00581A65">
        <w:rPr>
          <w:rFonts w:cstheme="minorHAnsi"/>
        </w:rPr>
        <w:t xml:space="preserve"> na zmluve aj pri úhradách rozpočtovým opatrením</w:t>
      </w:r>
      <w:r w:rsidR="003B158B">
        <w:rPr>
          <w:rFonts w:cstheme="minorHAnsi"/>
        </w:rPr>
        <w:t>.</w:t>
      </w:r>
    </w:p>
    <w:p w14:paraId="0C1F98E1" w14:textId="77777777" w:rsidR="003B158B" w:rsidRPr="008D32E4" w:rsidRDefault="003B158B" w:rsidP="003B158B">
      <w:pPr>
        <w:pStyle w:val="Odsekzoznamu"/>
        <w:ind w:left="1440"/>
        <w:jc w:val="both"/>
        <w:rPr>
          <w:rFonts w:cstheme="minorHAnsi"/>
        </w:rPr>
      </w:pPr>
    </w:p>
    <w:p w14:paraId="22083A73" w14:textId="75FB90D6" w:rsidR="00BF3046" w:rsidRPr="008D32E4" w:rsidRDefault="00BF3046" w:rsidP="00B36452">
      <w:pPr>
        <w:pStyle w:val="Odsekzoznamu"/>
        <w:numPr>
          <w:ilvl w:val="0"/>
          <w:numId w:val="28"/>
        </w:numPr>
        <w:spacing w:before="240" w:after="240"/>
        <w:ind w:left="714" w:hanging="357"/>
        <w:jc w:val="both"/>
        <w:rPr>
          <w:rFonts w:cstheme="minorHAnsi"/>
        </w:rPr>
      </w:pPr>
      <w:r w:rsidRPr="008D32E4">
        <w:rPr>
          <w:rFonts w:cstheme="minorHAnsi"/>
        </w:rPr>
        <w:t>Potreba evidencie pohľadávok voči prijímateľovi – potreba vrátenia nevyčerpaných prostriedkov, respektíve vrátenie prostriedkov za neoprávnené výdavky</w:t>
      </w:r>
      <w:r w:rsidR="008D32E4">
        <w:rPr>
          <w:rFonts w:cstheme="minorHAnsi"/>
        </w:rPr>
        <w:t>.</w:t>
      </w:r>
    </w:p>
    <w:p w14:paraId="14EA26A1" w14:textId="740E363F" w:rsidR="00BF3046" w:rsidRPr="008D32E4" w:rsidRDefault="00BF3046" w:rsidP="009B1F12">
      <w:pPr>
        <w:spacing w:after="240"/>
        <w:ind w:firstLine="714"/>
        <w:jc w:val="both"/>
        <w:rPr>
          <w:rFonts w:cstheme="minorHAnsi"/>
        </w:rPr>
      </w:pPr>
      <w:r w:rsidRPr="008D32E4">
        <w:rPr>
          <w:rFonts w:cstheme="minorHAnsi"/>
        </w:rPr>
        <w:t>Podľa spôsobu úhrady:</w:t>
      </w:r>
    </w:p>
    <w:p w14:paraId="57F8B08C" w14:textId="1CA7F892" w:rsidR="00F8516B" w:rsidRPr="008D32E4" w:rsidRDefault="00F8516B" w:rsidP="00083EF6">
      <w:pPr>
        <w:pStyle w:val="Odsekzoznamu"/>
        <w:numPr>
          <w:ilvl w:val="0"/>
          <w:numId w:val="25"/>
        </w:numPr>
        <w:ind w:left="709"/>
        <w:jc w:val="both"/>
        <w:rPr>
          <w:rFonts w:cstheme="minorHAnsi"/>
          <w:b/>
        </w:rPr>
      </w:pPr>
      <w:r w:rsidRPr="008D32E4">
        <w:rPr>
          <w:rFonts w:cstheme="minorHAnsi"/>
          <w:b/>
        </w:rPr>
        <w:t>Evidenciou a vysporiadaním pohľadávok v oblasti finančného účtovníctva</w:t>
      </w:r>
    </w:p>
    <w:p w14:paraId="7C4FBC74" w14:textId="7C709016" w:rsidR="00F8516B" w:rsidRPr="008D32E4" w:rsidRDefault="00F8516B" w:rsidP="004808B2">
      <w:pPr>
        <w:pStyle w:val="Odsekzoznamu"/>
        <w:numPr>
          <w:ilvl w:val="1"/>
          <w:numId w:val="23"/>
        </w:numPr>
        <w:jc w:val="both"/>
        <w:rPr>
          <w:rFonts w:cstheme="minorHAnsi"/>
        </w:rPr>
      </w:pPr>
      <w:r w:rsidRPr="008D32E4">
        <w:rPr>
          <w:rFonts w:cstheme="minorHAnsi"/>
        </w:rPr>
        <w:t xml:space="preserve">M18.040. Zadanie pohľadávky v FI – spracovanie </w:t>
      </w:r>
      <w:r w:rsidR="004B2431" w:rsidRPr="008D32E4">
        <w:rPr>
          <w:rFonts w:cstheme="minorHAnsi"/>
        </w:rPr>
        <w:t>pre evidenciu pohľadávky manuálne používateľom</w:t>
      </w:r>
    </w:p>
    <w:p w14:paraId="0770ABA4" w14:textId="0316213A" w:rsidR="003B158B" w:rsidRDefault="004B2431" w:rsidP="004503E0">
      <w:pPr>
        <w:pStyle w:val="Odsekzoznamu"/>
        <w:numPr>
          <w:ilvl w:val="1"/>
          <w:numId w:val="23"/>
        </w:numPr>
        <w:jc w:val="both"/>
        <w:rPr>
          <w:rFonts w:cstheme="minorHAnsi"/>
        </w:rPr>
      </w:pPr>
      <w:r w:rsidRPr="003B158B">
        <w:rPr>
          <w:rFonts w:cstheme="minorHAnsi"/>
        </w:rPr>
        <w:t xml:space="preserve">M18.043. Zadanie pohľadávky importom z externého prostredia - nahratie údajov pomocou používateľskej transakcie z výmennej štruktúry. Táto výmenná štruktúra môže byť výstupom </w:t>
      </w:r>
      <w:r w:rsidRPr="00086241">
        <w:rPr>
          <w:rFonts w:cstheme="minorHAnsi"/>
        </w:rPr>
        <w:t>z dotačného systému</w:t>
      </w:r>
      <w:r w:rsidRPr="003B158B">
        <w:rPr>
          <w:rFonts w:cstheme="minorHAnsi"/>
        </w:rPr>
        <w:t xml:space="preserve"> alebo pripravená manuálne referentom za poskytované </w:t>
      </w:r>
      <w:r w:rsidR="00ED16A3" w:rsidRPr="003B158B">
        <w:rPr>
          <w:rFonts w:cstheme="minorHAnsi"/>
        </w:rPr>
        <w:t>nenávratne finančné výpomoc</w:t>
      </w:r>
      <w:r w:rsidR="00971086">
        <w:rPr>
          <w:rFonts w:cstheme="minorHAnsi"/>
        </w:rPr>
        <w:t>í</w:t>
      </w:r>
    </w:p>
    <w:p w14:paraId="0554A378" w14:textId="46FD88AA" w:rsidR="004B2431" w:rsidRPr="003B158B" w:rsidRDefault="004B2431" w:rsidP="004503E0">
      <w:pPr>
        <w:pStyle w:val="Odsekzoznamu"/>
        <w:numPr>
          <w:ilvl w:val="1"/>
          <w:numId w:val="23"/>
        </w:numPr>
        <w:jc w:val="both"/>
        <w:rPr>
          <w:rFonts w:cstheme="minorHAnsi"/>
        </w:rPr>
      </w:pPr>
      <w:r w:rsidRPr="003B158B">
        <w:rPr>
          <w:rFonts w:cstheme="minorHAnsi"/>
        </w:rPr>
        <w:t>M18.042. Vysporiadanie pohľadávok.01 – každá pohľadávka je následne vysporiadaná v procese finančného účtovníctva</w:t>
      </w:r>
    </w:p>
    <w:p w14:paraId="7186504C" w14:textId="7A597881" w:rsidR="00FE55B5" w:rsidRPr="008D32E4" w:rsidRDefault="004B2431" w:rsidP="004808B2">
      <w:pPr>
        <w:pStyle w:val="Odsekzoznamu"/>
        <w:numPr>
          <w:ilvl w:val="0"/>
          <w:numId w:val="23"/>
        </w:numPr>
        <w:jc w:val="both"/>
        <w:rPr>
          <w:rFonts w:cstheme="minorHAnsi"/>
        </w:rPr>
      </w:pPr>
      <w:r w:rsidRPr="008D32E4">
        <w:rPr>
          <w:rFonts w:cstheme="minorHAnsi"/>
          <w:b/>
        </w:rPr>
        <w:t>Príjem rozpočtovým opatrením v oblasti rozpočtu</w:t>
      </w:r>
      <w:r w:rsidRPr="008D32E4">
        <w:rPr>
          <w:rFonts w:cstheme="minorHAnsi"/>
        </w:rPr>
        <w:t xml:space="preserve"> – referent rozpočtu očakáva príjem rozpočtového opatrenia od rozpočtovej organizácie, ktorá ma prostriedky vrátiť. Vrátenie prostriedkov je navýšením výdavkovej </w:t>
      </w:r>
      <w:r w:rsidR="008726DA" w:rsidRPr="008D32E4">
        <w:rPr>
          <w:rFonts w:cstheme="minorHAnsi"/>
        </w:rPr>
        <w:t xml:space="preserve">časti </w:t>
      </w:r>
      <w:r w:rsidRPr="008D32E4">
        <w:rPr>
          <w:rFonts w:cstheme="minorHAnsi"/>
        </w:rPr>
        <w:t>rozpočtových prostriedkov u</w:t>
      </w:r>
      <w:r w:rsidR="008726DA" w:rsidRPr="008D32E4">
        <w:rPr>
          <w:rFonts w:cstheme="minorHAnsi"/>
        </w:rPr>
        <w:t> </w:t>
      </w:r>
      <w:r w:rsidRPr="008D32E4">
        <w:rPr>
          <w:rFonts w:cstheme="minorHAnsi"/>
        </w:rPr>
        <w:t>poskytovateľa</w:t>
      </w:r>
      <w:r w:rsidR="008726DA" w:rsidRPr="008D32E4">
        <w:rPr>
          <w:rFonts w:cstheme="minorHAnsi"/>
        </w:rPr>
        <w:t>.</w:t>
      </w:r>
    </w:p>
    <w:p w14:paraId="4C8E7524" w14:textId="55A1F75B" w:rsidR="00FE55B5" w:rsidRPr="008D32E4" w:rsidRDefault="00FE55B5" w:rsidP="00FF27AB">
      <w:pPr>
        <w:pStyle w:val="Odsekzoznamu"/>
        <w:numPr>
          <w:ilvl w:val="1"/>
          <w:numId w:val="22"/>
        </w:numPr>
        <w:spacing w:after="240"/>
        <w:ind w:left="1434" w:hanging="357"/>
        <w:jc w:val="both"/>
        <w:rPr>
          <w:rFonts w:cstheme="minorHAnsi"/>
        </w:rPr>
      </w:pPr>
      <w:r w:rsidRPr="008D32E4">
        <w:rPr>
          <w:rFonts w:cstheme="minorHAnsi"/>
        </w:rPr>
        <w:t xml:space="preserve">M15.103.Spracovanie rozpočtu – po prijatí </w:t>
      </w:r>
      <w:r w:rsidR="00671889">
        <w:rPr>
          <w:rFonts w:cstheme="minorHAnsi"/>
        </w:rPr>
        <w:t>ELÚR</w:t>
      </w:r>
      <w:r w:rsidRPr="008D32E4">
        <w:rPr>
          <w:rFonts w:cstheme="minorHAnsi"/>
        </w:rPr>
        <w:t>u, proces spracovania rozpočtového opatrenia môže byť plne automaticky alebo s potrebným zásahom referenta rozpočtu v súlade s nastavením systému pre konkrétnu organizáciu.</w:t>
      </w:r>
      <w:r w:rsidR="003B158B">
        <w:rPr>
          <w:rFonts w:cstheme="minorHAnsi"/>
        </w:rPr>
        <w:t xml:space="preserve"> </w:t>
      </w:r>
      <w:r w:rsidR="003B158B" w:rsidRPr="00581A65">
        <w:rPr>
          <w:rFonts w:cstheme="minorHAnsi"/>
        </w:rPr>
        <w:t xml:space="preserve">Následne je potrebné vytvoriť manuálne  prepojenie rozpočtového opatrenia a plnenia zmluvy. Po prijatí </w:t>
      </w:r>
      <w:r w:rsidR="003B158B" w:rsidRPr="00086241">
        <w:rPr>
          <w:rFonts w:cstheme="minorHAnsi"/>
        </w:rPr>
        <w:t>ELÚRu</w:t>
      </w:r>
      <w:r w:rsidR="003B158B" w:rsidRPr="00581A65">
        <w:rPr>
          <w:rFonts w:cstheme="minorHAnsi"/>
        </w:rPr>
        <w:t xml:space="preserve"> bude rozpočtár prepájať doklad rozpočtového dokladu (ELÚRu) s položkou rezervačného dokladu (zmluva CEZ). Týmto sa zabezpečí </w:t>
      </w:r>
      <w:r w:rsidR="003B158B">
        <w:rPr>
          <w:rFonts w:cstheme="minorHAnsi"/>
        </w:rPr>
        <w:t>reálne plnenie</w:t>
      </w:r>
      <w:r w:rsidR="003B158B" w:rsidRPr="00581A65">
        <w:rPr>
          <w:rFonts w:cstheme="minorHAnsi"/>
        </w:rPr>
        <w:t xml:space="preserve"> na zmluve aj pri úhradách rozpočtovým opatrením</w:t>
      </w:r>
      <w:r w:rsidR="003B158B">
        <w:rPr>
          <w:rFonts w:cstheme="minorHAnsi"/>
        </w:rPr>
        <w:t>.</w:t>
      </w:r>
    </w:p>
    <w:p w14:paraId="77403D6F" w14:textId="1FAD5B29" w:rsidR="008355BB" w:rsidRDefault="008355BB" w:rsidP="00671889">
      <w:pPr>
        <w:pStyle w:val="Nadpis1"/>
      </w:pPr>
      <w:r w:rsidRPr="008D32E4">
        <w:t>Roly a</w:t>
      </w:r>
      <w:r w:rsidR="002369E5">
        <w:t> </w:t>
      </w:r>
      <w:r w:rsidRPr="008D32E4">
        <w:t>aktivity</w:t>
      </w:r>
    </w:p>
    <w:p w14:paraId="54393075" w14:textId="6F0A9276" w:rsidR="002369E5" w:rsidRPr="002369E5" w:rsidRDefault="002369E5" w:rsidP="002369E5">
      <w:pPr>
        <w:spacing w:after="0"/>
        <w:jc w:val="both"/>
      </w:pPr>
      <w:r w:rsidRPr="005361A7">
        <w:rPr>
          <w:rFonts w:eastAsia="Times New Roman" w:cstheme="minorHAnsi"/>
          <w:color w:val="000000" w:themeColor="text1"/>
          <w:lang w:eastAsia="sk-SK"/>
        </w:rPr>
        <w:t xml:space="preserve">Tento proces </w:t>
      </w:r>
      <w:r>
        <w:rPr>
          <w:rFonts w:eastAsia="Times New Roman" w:cstheme="minorHAnsi"/>
          <w:color w:val="000000" w:themeColor="text1"/>
          <w:lang w:eastAsia="sk-SK"/>
        </w:rPr>
        <w:t xml:space="preserve">je </w:t>
      </w:r>
      <w:r w:rsidRPr="005361A7">
        <w:rPr>
          <w:rFonts w:eastAsia="Times New Roman" w:cstheme="minorHAnsi"/>
          <w:color w:val="000000" w:themeColor="text1"/>
          <w:lang w:eastAsia="sk-SK"/>
        </w:rPr>
        <w:t>zložený procesný diagram. Procesné diagramy patriace pod tento zložený procesný diagram sú popísané v separátnych procesných dokumentoch uvedených v bode 1.1.</w:t>
      </w:r>
    </w:p>
    <w:p w14:paraId="5B85195F" w14:textId="69FC14C7" w:rsidR="008C0FB0" w:rsidRPr="008D32E4" w:rsidRDefault="008113CA" w:rsidP="00581C2E">
      <w:pPr>
        <w:pStyle w:val="Nadpis2"/>
        <w:rPr>
          <w:rFonts w:asciiTheme="minorHAnsi" w:hAnsiTheme="minorHAnsi" w:cstheme="minorHAnsi"/>
        </w:rPr>
      </w:pPr>
      <w:r w:rsidRPr="008D32E4">
        <w:rPr>
          <w:rFonts w:asciiTheme="minorHAnsi" w:hAnsiTheme="minorHAnsi" w:cstheme="minorHAnsi"/>
        </w:rPr>
        <w:t>Tabuľka rolí a</w:t>
      </w:r>
      <w:r w:rsidR="004B532B" w:rsidRPr="008D32E4">
        <w:rPr>
          <w:rFonts w:asciiTheme="minorHAnsi" w:hAnsiTheme="minorHAnsi" w:cstheme="minorHAnsi"/>
        </w:rPr>
        <w:t> </w:t>
      </w:r>
      <w:r w:rsidRPr="008D32E4">
        <w:rPr>
          <w:rFonts w:asciiTheme="minorHAnsi" w:hAnsiTheme="minorHAnsi" w:cstheme="minorHAnsi"/>
        </w:rPr>
        <w:t>aktivít</w:t>
      </w:r>
    </w:p>
    <w:tbl>
      <w:tblPr>
        <w:tblW w:w="5000" w:type="pct"/>
        <w:tblLook w:val="04A0" w:firstRow="1" w:lastRow="0" w:firstColumn="1" w:lastColumn="0" w:noHBand="0" w:noVBand="1"/>
      </w:tblPr>
      <w:tblGrid>
        <w:gridCol w:w="978"/>
        <w:gridCol w:w="3281"/>
        <w:gridCol w:w="5091"/>
      </w:tblGrid>
      <w:tr w:rsidR="007B3931" w:rsidRPr="008D32E4" w14:paraId="56ECC584" w14:textId="77777777" w:rsidTr="003A5B48">
        <w:trPr>
          <w:trHeight w:val="295"/>
        </w:trPr>
        <w:tc>
          <w:tcPr>
            <w:tcW w:w="581" w:type="pct"/>
            <w:tcBorders>
              <w:top w:val="single" w:sz="4" w:space="0" w:color="auto"/>
              <w:left w:val="single" w:sz="4" w:space="0" w:color="auto"/>
              <w:bottom w:val="nil"/>
              <w:right w:val="nil"/>
            </w:tcBorders>
            <w:shd w:val="clear" w:color="auto" w:fill="auto"/>
            <w:noWrap/>
            <w:vAlign w:val="bottom"/>
            <w:hideMark/>
          </w:tcPr>
          <w:p w14:paraId="0C8118ED" w14:textId="77777777" w:rsidR="007B3931" w:rsidRPr="008D32E4" w:rsidRDefault="007B3931" w:rsidP="00014106">
            <w:pPr>
              <w:spacing w:after="0"/>
              <w:rPr>
                <w:rFonts w:eastAsia="Times New Roman" w:cstheme="minorHAnsi"/>
                <w:color w:val="000000"/>
              </w:rPr>
            </w:pPr>
            <w:r w:rsidRPr="008D32E4">
              <w:rPr>
                <w:rFonts w:eastAsia="Times New Roman" w:cstheme="minorHAnsi"/>
                <w:color w:val="000000"/>
              </w:rPr>
              <w:t> </w:t>
            </w:r>
          </w:p>
        </w:tc>
        <w:tc>
          <w:tcPr>
            <w:tcW w:w="1989" w:type="pct"/>
            <w:tcBorders>
              <w:top w:val="single" w:sz="4" w:space="0" w:color="auto"/>
              <w:left w:val="nil"/>
              <w:bottom w:val="nil"/>
              <w:right w:val="nil"/>
            </w:tcBorders>
            <w:shd w:val="clear" w:color="auto" w:fill="auto"/>
            <w:noWrap/>
            <w:vAlign w:val="bottom"/>
            <w:hideMark/>
          </w:tcPr>
          <w:p w14:paraId="4FA5FDCF" w14:textId="77777777" w:rsidR="007B3931" w:rsidRPr="008D32E4" w:rsidRDefault="007B3931" w:rsidP="00014106">
            <w:pPr>
              <w:spacing w:after="0"/>
              <w:rPr>
                <w:rFonts w:eastAsia="Times New Roman" w:cstheme="minorHAnsi"/>
                <w:color w:val="000000"/>
              </w:rPr>
            </w:pPr>
            <w:r w:rsidRPr="008D32E4">
              <w:rPr>
                <w:rFonts w:eastAsia="Times New Roman" w:cstheme="minorHAnsi"/>
                <w:color w:val="000000"/>
              </w:rPr>
              <w:t>Proces</w:t>
            </w:r>
          </w:p>
        </w:tc>
        <w:tc>
          <w:tcPr>
            <w:tcW w:w="2430" w:type="pct"/>
            <w:tcBorders>
              <w:top w:val="single" w:sz="4" w:space="0" w:color="auto"/>
              <w:left w:val="nil"/>
              <w:bottom w:val="nil"/>
              <w:right w:val="single" w:sz="4" w:space="0" w:color="auto"/>
            </w:tcBorders>
            <w:shd w:val="clear" w:color="auto" w:fill="auto"/>
            <w:noWrap/>
            <w:vAlign w:val="bottom"/>
            <w:hideMark/>
          </w:tcPr>
          <w:p w14:paraId="2E06D381" w14:textId="3FC6566F" w:rsidR="007B3931" w:rsidRPr="008D32E4" w:rsidRDefault="007B3931" w:rsidP="00014106">
            <w:pPr>
              <w:spacing w:after="0"/>
              <w:rPr>
                <w:rFonts w:eastAsia="Times New Roman" w:cstheme="minorHAnsi"/>
                <w:color w:val="000000"/>
              </w:rPr>
            </w:pPr>
            <w:r w:rsidRPr="008D32E4">
              <w:rPr>
                <w:rFonts w:eastAsia="Times New Roman" w:cstheme="minorHAnsi"/>
                <w:color w:val="000000"/>
              </w:rPr>
              <w:t>M</w:t>
            </w:r>
            <w:r w:rsidR="00AF7DBF" w:rsidRPr="008D32E4">
              <w:rPr>
                <w:rFonts w:eastAsia="Times New Roman" w:cstheme="minorHAnsi"/>
                <w:color w:val="000000"/>
              </w:rPr>
              <w:t>15</w:t>
            </w:r>
            <w:r w:rsidRPr="008D32E4">
              <w:rPr>
                <w:rFonts w:eastAsia="Times New Roman" w:cstheme="minorHAnsi"/>
                <w:color w:val="000000"/>
              </w:rPr>
              <w:t>.</w:t>
            </w:r>
            <w:r w:rsidR="000B62F2">
              <w:rPr>
                <w:rFonts w:eastAsia="Times New Roman" w:cstheme="minorHAnsi"/>
                <w:color w:val="000000"/>
              </w:rPr>
              <w:t>504</w:t>
            </w:r>
          </w:p>
        </w:tc>
      </w:tr>
      <w:tr w:rsidR="007B3931" w:rsidRPr="008D32E4" w14:paraId="3A747AF3" w14:textId="77777777" w:rsidTr="003A5B48">
        <w:trPr>
          <w:trHeight w:val="295"/>
        </w:trPr>
        <w:tc>
          <w:tcPr>
            <w:tcW w:w="581" w:type="pct"/>
            <w:tcBorders>
              <w:top w:val="nil"/>
              <w:left w:val="single" w:sz="4" w:space="0" w:color="auto"/>
              <w:bottom w:val="single" w:sz="4" w:space="0" w:color="auto"/>
              <w:right w:val="nil"/>
            </w:tcBorders>
            <w:shd w:val="clear" w:color="auto" w:fill="auto"/>
            <w:noWrap/>
            <w:vAlign w:val="bottom"/>
            <w:hideMark/>
          </w:tcPr>
          <w:p w14:paraId="546247FF" w14:textId="77777777" w:rsidR="007B3931" w:rsidRPr="008D32E4" w:rsidRDefault="007B3931" w:rsidP="00014106">
            <w:pPr>
              <w:spacing w:after="0"/>
              <w:rPr>
                <w:rFonts w:eastAsia="Times New Roman" w:cstheme="minorHAnsi"/>
                <w:b/>
                <w:bCs/>
                <w:color w:val="000000"/>
              </w:rPr>
            </w:pPr>
            <w:r w:rsidRPr="008D32E4">
              <w:rPr>
                <w:rFonts w:eastAsia="Times New Roman" w:cstheme="minorHAnsi"/>
                <w:b/>
                <w:bCs/>
                <w:color w:val="000000"/>
              </w:rPr>
              <w:t> </w:t>
            </w:r>
          </w:p>
        </w:tc>
        <w:tc>
          <w:tcPr>
            <w:tcW w:w="1989" w:type="pct"/>
            <w:tcBorders>
              <w:top w:val="nil"/>
              <w:left w:val="nil"/>
              <w:bottom w:val="single" w:sz="4" w:space="0" w:color="auto"/>
              <w:right w:val="nil"/>
            </w:tcBorders>
            <w:shd w:val="clear" w:color="auto" w:fill="auto"/>
            <w:noWrap/>
            <w:vAlign w:val="bottom"/>
            <w:hideMark/>
          </w:tcPr>
          <w:p w14:paraId="5970E2D1" w14:textId="77777777" w:rsidR="007B3931" w:rsidRPr="008D32E4" w:rsidRDefault="007B3931" w:rsidP="00014106">
            <w:pPr>
              <w:spacing w:after="0"/>
              <w:rPr>
                <w:rFonts w:eastAsia="Times New Roman" w:cstheme="minorHAnsi"/>
                <w:b/>
                <w:bCs/>
                <w:color w:val="000000"/>
              </w:rPr>
            </w:pPr>
            <w:proofErr w:type="spellStart"/>
            <w:r w:rsidRPr="008D32E4">
              <w:rPr>
                <w:rFonts w:eastAsia="Times New Roman" w:cstheme="minorHAnsi"/>
                <w:b/>
                <w:bCs/>
                <w:color w:val="000000"/>
              </w:rPr>
              <w:t>Org</w:t>
            </w:r>
            <w:proofErr w:type="spellEnd"/>
            <w:r w:rsidRPr="008D32E4">
              <w:rPr>
                <w:rFonts w:eastAsia="Times New Roman" w:cstheme="minorHAnsi"/>
                <w:b/>
                <w:bCs/>
                <w:color w:val="000000"/>
              </w:rPr>
              <w:t>./Odd.</w:t>
            </w:r>
          </w:p>
        </w:tc>
        <w:tc>
          <w:tcPr>
            <w:tcW w:w="2430" w:type="pct"/>
            <w:tcBorders>
              <w:top w:val="nil"/>
              <w:left w:val="nil"/>
              <w:bottom w:val="single" w:sz="4" w:space="0" w:color="auto"/>
              <w:right w:val="single" w:sz="4" w:space="0" w:color="auto"/>
            </w:tcBorders>
            <w:shd w:val="clear" w:color="auto" w:fill="auto"/>
            <w:noWrap/>
            <w:vAlign w:val="bottom"/>
            <w:hideMark/>
          </w:tcPr>
          <w:p w14:paraId="5ABA5C51" w14:textId="3F6DFE06" w:rsidR="007B3931" w:rsidRPr="008D32E4" w:rsidRDefault="00AF7DBF" w:rsidP="00014106">
            <w:pPr>
              <w:spacing w:after="0"/>
              <w:rPr>
                <w:rFonts w:eastAsia="Times New Roman" w:cstheme="minorHAnsi"/>
                <w:b/>
                <w:bCs/>
                <w:color w:val="000000"/>
              </w:rPr>
            </w:pPr>
            <w:r w:rsidRPr="008D32E4">
              <w:rPr>
                <w:rFonts w:eastAsia="Times New Roman" w:cstheme="minorHAnsi"/>
                <w:b/>
                <w:bCs/>
                <w:color w:val="000000"/>
              </w:rPr>
              <w:t>Oddelenie rozpočtu</w:t>
            </w:r>
          </w:p>
        </w:tc>
      </w:tr>
      <w:tr w:rsidR="007B3931" w:rsidRPr="008D32E4" w14:paraId="767F264B" w14:textId="77777777" w:rsidTr="003A5B48">
        <w:trPr>
          <w:trHeight w:val="295"/>
        </w:trPr>
        <w:tc>
          <w:tcPr>
            <w:tcW w:w="581" w:type="pct"/>
            <w:tcBorders>
              <w:top w:val="single" w:sz="4" w:space="0" w:color="auto"/>
              <w:left w:val="single" w:sz="4" w:space="0" w:color="auto"/>
            </w:tcBorders>
            <w:shd w:val="clear" w:color="000000" w:fill="EDEDED"/>
            <w:noWrap/>
            <w:vAlign w:val="center"/>
            <w:hideMark/>
          </w:tcPr>
          <w:p w14:paraId="219D88DB" w14:textId="77777777" w:rsidR="007B3931" w:rsidRPr="008D32E4" w:rsidRDefault="007B3931" w:rsidP="00014106">
            <w:pPr>
              <w:spacing w:after="0"/>
              <w:rPr>
                <w:rFonts w:eastAsia="Times New Roman" w:cstheme="minorHAnsi"/>
                <w:b/>
                <w:bCs/>
                <w:color w:val="000000"/>
              </w:rPr>
            </w:pPr>
            <w:r w:rsidRPr="008D32E4">
              <w:rPr>
                <w:rFonts w:eastAsia="Times New Roman" w:cstheme="minorHAnsi"/>
                <w:b/>
                <w:bCs/>
                <w:color w:val="000000"/>
              </w:rPr>
              <w:t>Rola</w:t>
            </w:r>
          </w:p>
        </w:tc>
        <w:tc>
          <w:tcPr>
            <w:tcW w:w="1989" w:type="pct"/>
            <w:tcBorders>
              <w:top w:val="single" w:sz="4" w:space="0" w:color="auto"/>
            </w:tcBorders>
            <w:shd w:val="clear" w:color="000000" w:fill="EDEDED"/>
            <w:noWrap/>
            <w:vAlign w:val="bottom"/>
            <w:hideMark/>
          </w:tcPr>
          <w:p w14:paraId="33980576" w14:textId="2270DEF0" w:rsidR="007B3931" w:rsidRPr="008D32E4" w:rsidRDefault="00EA5A03" w:rsidP="00014106">
            <w:pPr>
              <w:spacing w:after="0"/>
              <w:rPr>
                <w:rFonts w:eastAsia="Times New Roman" w:cstheme="minorHAnsi"/>
                <w:b/>
                <w:bCs/>
                <w:color w:val="000000"/>
              </w:rPr>
            </w:pPr>
            <w:r w:rsidRPr="008D32E4">
              <w:rPr>
                <w:rFonts w:eastAsia="Times New Roman" w:cstheme="minorHAnsi"/>
                <w:b/>
                <w:bCs/>
                <w:color w:val="000000"/>
              </w:rPr>
              <w:t>Referent poskytovania nenávratných finančných výpomoc</w:t>
            </w:r>
            <w:r>
              <w:rPr>
                <w:rFonts w:eastAsia="Times New Roman" w:cstheme="minorHAnsi"/>
                <w:b/>
                <w:bCs/>
                <w:color w:val="000000"/>
              </w:rPr>
              <w:t>í</w:t>
            </w:r>
          </w:p>
        </w:tc>
        <w:tc>
          <w:tcPr>
            <w:tcW w:w="2430" w:type="pct"/>
            <w:tcBorders>
              <w:top w:val="single" w:sz="4" w:space="0" w:color="auto"/>
              <w:right w:val="single" w:sz="4" w:space="0" w:color="auto"/>
            </w:tcBorders>
            <w:shd w:val="clear" w:color="000000" w:fill="EDEDED"/>
            <w:noWrap/>
            <w:vAlign w:val="bottom"/>
            <w:hideMark/>
          </w:tcPr>
          <w:p w14:paraId="6A1659C7" w14:textId="3226B659" w:rsidR="007B3931" w:rsidRPr="008D32E4" w:rsidRDefault="007877F0" w:rsidP="00014106">
            <w:pPr>
              <w:spacing w:after="0"/>
              <w:rPr>
                <w:rFonts w:eastAsia="Times New Roman" w:cstheme="minorHAnsi"/>
                <w:b/>
                <w:bCs/>
                <w:color w:val="000000"/>
              </w:rPr>
            </w:pPr>
            <w:r w:rsidRPr="008D32E4">
              <w:rPr>
                <w:rFonts w:eastAsia="Times New Roman" w:cstheme="minorHAnsi"/>
                <w:b/>
                <w:bCs/>
                <w:color w:val="000000"/>
              </w:rPr>
              <w:t xml:space="preserve">Referent </w:t>
            </w:r>
            <w:r w:rsidR="00FB2802" w:rsidRPr="008D32E4">
              <w:rPr>
                <w:rFonts w:eastAsia="Times New Roman" w:cstheme="minorHAnsi"/>
                <w:b/>
                <w:bCs/>
                <w:color w:val="000000"/>
              </w:rPr>
              <w:t>poskytovania nenávratných finančných výpomoc</w:t>
            </w:r>
            <w:r w:rsidR="00A168F8">
              <w:rPr>
                <w:rFonts w:eastAsia="Times New Roman" w:cstheme="minorHAnsi"/>
                <w:b/>
                <w:bCs/>
                <w:color w:val="000000"/>
              </w:rPr>
              <w:t>í</w:t>
            </w:r>
          </w:p>
        </w:tc>
      </w:tr>
      <w:tr w:rsidR="00355F3C" w:rsidRPr="008D32E4" w14:paraId="3FE7BB85" w14:textId="77777777" w:rsidTr="003A5B48">
        <w:trPr>
          <w:trHeight w:val="295"/>
        </w:trPr>
        <w:tc>
          <w:tcPr>
            <w:tcW w:w="581" w:type="pct"/>
            <w:tcBorders>
              <w:left w:val="single" w:sz="4" w:space="0" w:color="auto"/>
            </w:tcBorders>
            <w:shd w:val="clear" w:color="auto" w:fill="auto"/>
            <w:noWrap/>
            <w:vAlign w:val="bottom"/>
          </w:tcPr>
          <w:p w14:paraId="2795272B" w14:textId="1CB4121D" w:rsidR="00355F3C" w:rsidRPr="008D32E4" w:rsidRDefault="00220909" w:rsidP="00355F3C">
            <w:pPr>
              <w:spacing w:after="0"/>
              <w:rPr>
                <w:rFonts w:eastAsia="Times New Roman" w:cstheme="minorHAnsi"/>
                <w:color w:val="000000"/>
              </w:rPr>
            </w:pPr>
            <w:r w:rsidRPr="008D32E4">
              <w:rPr>
                <w:rFonts w:eastAsia="Times New Roman" w:cstheme="minorHAnsi"/>
                <w:color w:val="000000"/>
              </w:rPr>
              <w:t>Aktivita</w:t>
            </w:r>
          </w:p>
        </w:tc>
        <w:tc>
          <w:tcPr>
            <w:tcW w:w="1989" w:type="pct"/>
            <w:shd w:val="clear" w:color="auto" w:fill="auto"/>
            <w:noWrap/>
            <w:vAlign w:val="bottom"/>
          </w:tcPr>
          <w:p w14:paraId="200C6CDF" w14:textId="7C85F02A" w:rsidR="00355F3C" w:rsidRPr="008D32E4" w:rsidRDefault="00AE7D95" w:rsidP="00355F3C">
            <w:pPr>
              <w:spacing w:after="0"/>
              <w:rPr>
                <w:rFonts w:eastAsia="Times New Roman" w:cstheme="minorHAnsi"/>
                <w:color w:val="000000"/>
              </w:rPr>
            </w:pPr>
            <w:r w:rsidRPr="008D32E4">
              <w:rPr>
                <w:rFonts w:eastAsia="Times New Roman" w:cstheme="minorHAnsi"/>
                <w:color w:val="000000"/>
              </w:rPr>
              <w:t>M15.</w:t>
            </w:r>
            <w:r w:rsidR="000B62F2">
              <w:rPr>
                <w:rFonts w:eastAsia="Times New Roman" w:cstheme="minorHAnsi"/>
                <w:color w:val="000000"/>
              </w:rPr>
              <w:t>504</w:t>
            </w:r>
            <w:r w:rsidRPr="008D32E4">
              <w:rPr>
                <w:rFonts w:eastAsia="Times New Roman" w:cstheme="minorHAnsi"/>
                <w:color w:val="000000"/>
              </w:rPr>
              <w:t xml:space="preserve">.0.00001. </w:t>
            </w:r>
          </w:p>
        </w:tc>
        <w:tc>
          <w:tcPr>
            <w:tcW w:w="2430" w:type="pct"/>
            <w:tcBorders>
              <w:right w:val="single" w:sz="4" w:space="0" w:color="auto"/>
            </w:tcBorders>
            <w:shd w:val="clear" w:color="auto" w:fill="auto"/>
            <w:noWrap/>
            <w:vAlign w:val="bottom"/>
          </w:tcPr>
          <w:p w14:paraId="17B96F18" w14:textId="65D5FDE5" w:rsidR="007824A6" w:rsidRPr="008D32E4" w:rsidRDefault="00CE4053" w:rsidP="00355F3C">
            <w:pPr>
              <w:spacing w:after="0"/>
              <w:rPr>
                <w:rFonts w:eastAsia="Times New Roman" w:cstheme="minorHAnsi"/>
                <w:color w:val="000000"/>
              </w:rPr>
            </w:pPr>
            <w:r w:rsidRPr="008D32E4">
              <w:rPr>
                <w:rFonts w:eastAsia="Times New Roman" w:cstheme="minorHAnsi"/>
                <w:color w:val="000000"/>
              </w:rPr>
              <w:t xml:space="preserve">Príprava podkladov pre účtovanie na základe </w:t>
            </w:r>
            <w:r w:rsidR="00421E24" w:rsidRPr="008D32E4">
              <w:rPr>
                <w:rFonts w:eastAsia="Times New Roman" w:cstheme="minorHAnsi"/>
                <w:color w:val="000000"/>
              </w:rPr>
              <w:t>kontrol</w:t>
            </w:r>
            <w:r w:rsidRPr="008D32E4">
              <w:rPr>
                <w:rFonts w:eastAsia="Times New Roman" w:cstheme="minorHAnsi"/>
                <w:color w:val="000000"/>
              </w:rPr>
              <w:t xml:space="preserve"> nenávratných finančných výpomoc</w:t>
            </w:r>
            <w:r w:rsidR="00142CA6">
              <w:rPr>
                <w:rFonts w:eastAsia="Times New Roman" w:cstheme="minorHAnsi"/>
                <w:color w:val="000000"/>
              </w:rPr>
              <w:t>í</w:t>
            </w:r>
          </w:p>
        </w:tc>
      </w:tr>
      <w:tr w:rsidR="003A5B48" w:rsidRPr="008D32E4" w14:paraId="2A766A3A" w14:textId="77777777" w:rsidTr="003A5B48">
        <w:trPr>
          <w:trHeight w:val="295"/>
        </w:trPr>
        <w:tc>
          <w:tcPr>
            <w:tcW w:w="581" w:type="pct"/>
            <w:tcBorders>
              <w:left w:val="single" w:sz="4" w:space="0" w:color="auto"/>
            </w:tcBorders>
            <w:shd w:val="clear" w:color="auto" w:fill="auto"/>
            <w:noWrap/>
            <w:vAlign w:val="bottom"/>
          </w:tcPr>
          <w:p w14:paraId="07DAEFFA" w14:textId="77777777" w:rsidR="003A5B48" w:rsidRPr="008D32E4" w:rsidRDefault="003A5B48" w:rsidP="00355F3C">
            <w:pPr>
              <w:spacing w:after="0"/>
              <w:rPr>
                <w:rFonts w:eastAsia="Times New Roman" w:cstheme="minorHAnsi"/>
                <w:color w:val="000000"/>
              </w:rPr>
            </w:pPr>
          </w:p>
        </w:tc>
        <w:tc>
          <w:tcPr>
            <w:tcW w:w="1989" w:type="pct"/>
            <w:shd w:val="clear" w:color="auto" w:fill="auto"/>
            <w:noWrap/>
            <w:vAlign w:val="bottom"/>
          </w:tcPr>
          <w:p w14:paraId="7534F606" w14:textId="03492A50" w:rsidR="003A5B48" w:rsidRPr="008D32E4" w:rsidRDefault="003A5B48" w:rsidP="00355F3C">
            <w:pPr>
              <w:spacing w:after="0"/>
              <w:rPr>
                <w:rFonts w:eastAsia="Times New Roman" w:cstheme="minorHAnsi"/>
                <w:color w:val="000000"/>
              </w:rPr>
            </w:pPr>
            <w:r w:rsidRPr="003A5B48">
              <w:rPr>
                <w:rFonts w:eastAsia="Times New Roman" w:cstheme="minorHAnsi"/>
                <w:color w:val="000000"/>
              </w:rPr>
              <w:t>M15.</w:t>
            </w:r>
            <w:r w:rsidR="000B62F2">
              <w:rPr>
                <w:rFonts w:eastAsia="Times New Roman" w:cstheme="minorHAnsi"/>
                <w:color w:val="000000"/>
              </w:rPr>
              <w:t>504</w:t>
            </w:r>
            <w:r w:rsidRPr="003A5B48">
              <w:rPr>
                <w:rFonts w:eastAsia="Times New Roman" w:cstheme="minorHAnsi"/>
                <w:color w:val="000000"/>
              </w:rPr>
              <w:t>.0.00002.</w:t>
            </w:r>
          </w:p>
        </w:tc>
        <w:tc>
          <w:tcPr>
            <w:tcW w:w="2430" w:type="pct"/>
            <w:tcBorders>
              <w:right w:val="single" w:sz="4" w:space="0" w:color="auto"/>
            </w:tcBorders>
            <w:shd w:val="clear" w:color="auto" w:fill="auto"/>
            <w:noWrap/>
            <w:vAlign w:val="bottom"/>
          </w:tcPr>
          <w:p w14:paraId="0BCF4AD4" w14:textId="3164B14D" w:rsidR="003A5B48" w:rsidRPr="008D32E4" w:rsidRDefault="003A5B48" w:rsidP="00355F3C">
            <w:pPr>
              <w:spacing w:after="0"/>
              <w:rPr>
                <w:rFonts w:eastAsia="Times New Roman" w:cstheme="minorHAnsi"/>
                <w:color w:val="000000"/>
              </w:rPr>
            </w:pPr>
            <w:r w:rsidRPr="003A5B48">
              <w:rPr>
                <w:rFonts w:eastAsia="Times New Roman" w:cstheme="minorHAnsi"/>
                <w:color w:val="000000"/>
              </w:rPr>
              <w:t>Pr</w:t>
            </w:r>
            <w:r>
              <w:rPr>
                <w:rFonts w:eastAsia="Times New Roman" w:cstheme="minorHAnsi"/>
                <w:color w:val="000000"/>
              </w:rPr>
              <w:t>i</w:t>
            </w:r>
            <w:r w:rsidRPr="003A5B48">
              <w:rPr>
                <w:rFonts w:eastAsia="Times New Roman" w:cstheme="minorHAnsi"/>
                <w:color w:val="000000"/>
              </w:rPr>
              <w:t>p</w:t>
            </w:r>
            <w:r>
              <w:rPr>
                <w:rFonts w:eastAsia="Times New Roman" w:cstheme="minorHAnsi"/>
                <w:color w:val="000000"/>
              </w:rPr>
              <w:t>r</w:t>
            </w:r>
            <w:r w:rsidRPr="003A5B48">
              <w:rPr>
                <w:rFonts w:eastAsia="Times New Roman" w:cstheme="minorHAnsi"/>
                <w:color w:val="000000"/>
              </w:rPr>
              <w:t>avené podklady pre účtovanie na základe kontr</w:t>
            </w:r>
            <w:r>
              <w:rPr>
                <w:rFonts w:eastAsia="Times New Roman" w:cstheme="minorHAnsi"/>
                <w:color w:val="000000"/>
              </w:rPr>
              <w:t>o</w:t>
            </w:r>
            <w:r w:rsidRPr="003A5B48">
              <w:rPr>
                <w:rFonts w:eastAsia="Times New Roman" w:cstheme="minorHAnsi"/>
                <w:color w:val="000000"/>
              </w:rPr>
              <w:t>l nenávratných finančných výpomoc</w:t>
            </w:r>
            <w:r w:rsidR="00142CA6">
              <w:rPr>
                <w:rFonts w:eastAsia="Times New Roman" w:cstheme="minorHAnsi"/>
                <w:color w:val="000000"/>
              </w:rPr>
              <w:t>í</w:t>
            </w:r>
            <w:r w:rsidRPr="003A5B48">
              <w:rPr>
                <w:rFonts w:eastAsia="Times New Roman" w:cstheme="minorHAnsi"/>
                <w:color w:val="000000"/>
              </w:rPr>
              <w:t xml:space="preserve"> z agendových systémov</w:t>
            </w:r>
          </w:p>
        </w:tc>
      </w:tr>
      <w:tr w:rsidR="003A5B48" w:rsidRPr="008D32E4" w14:paraId="30E2D3B0" w14:textId="77777777" w:rsidTr="003A5B48">
        <w:trPr>
          <w:trHeight w:val="295"/>
        </w:trPr>
        <w:tc>
          <w:tcPr>
            <w:tcW w:w="581" w:type="pct"/>
            <w:tcBorders>
              <w:left w:val="single" w:sz="4" w:space="0" w:color="auto"/>
            </w:tcBorders>
            <w:shd w:val="clear" w:color="auto" w:fill="E7E6E6" w:themeFill="background2"/>
            <w:noWrap/>
            <w:vAlign w:val="center"/>
          </w:tcPr>
          <w:p w14:paraId="240A4B6B" w14:textId="555630AD" w:rsidR="003A5B48" w:rsidRPr="008D32E4" w:rsidRDefault="003A5B48" w:rsidP="003A5B48">
            <w:pPr>
              <w:spacing w:after="0"/>
              <w:rPr>
                <w:rFonts w:eastAsia="Times New Roman" w:cstheme="minorHAnsi"/>
                <w:color w:val="000000"/>
              </w:rPr>
            </w:pPr>
            <w:r w:rsidRPr="005361A7">
              <w:rPr>
                <w:rFonts w:eastAsia="Times New Roman" w:cstheme="minorHAnsi"/>
                <w:b/>
                <w:bCs/>
                <w:color w:val="000000"/>
              </w:rPr>
              <w:t>Rola</w:t>
            </w:r>
          </w:p>
        </w:tc>
        <w:tc>
          <w:tcPr>
            <w:tcW w:w="1989" w:type="pct"/>
            <w:shd w:val="clear" w:color="auto" w:fill="E7E6E6" w:themeFill="background2"/>
            <w:noWrap/>
            <w:vAlign w:val="bottom"/>
          </w:tcPr>
          <w:p w14:paraId="39FC14C0" w14:textId="019FAECC" w:rsidR="003A5B48" w:rsidRPr="008D32E4" w:rsidRDefault="00EA5A03" w:rsidP="003A5B48">
            <w:pPr>
              <w:spacing w:after="0"/>
              <w:rPr>
                <w:rFonts w:eastAsia="Times New Roman" w:cstheme="minorHAnsi"/>
                <w:color w:val="000000"/>
              </w:rPr>
            </w:pPr>
            <w:r w:rsidRPr="005361A7">
              <w:rPr>
                <w:rFonts w:eastAsia="Times New Roman" w:cstheme="minorHAnsi"/>
                <w:b/>
                <w:bCs/>
                <w:color w:val="000000"/>
              </w:rPr>
              <w:t>Referent rozpočtu</w:t>
            </w:r>
          </w:p>
        </w:tc>
        <w:tc>
          <w:tcPr>
            <w:tcW w:w="2430" w:type="pct"/>
            <w:tcBorders>
              <w:right w:val="single" w:sz="4" w:space="0" w:color="auto"/>
            </w:tcBorders>
            <w:shd w:val="clear" w:color="auto" w:fill="E7E6E6" w:themeFill="background2"/>
            <w:noWrap/>
            <w:vAlign w:val="bottom"/>
          </w:tcPr>
          <w:p w14:paraId="16B4CB2A" w14:textId="66963290" w:rsidR="003A5B48" w:rsidRPr="008D32E4" w:rsidRDefault="003A5B48" w:rsidP="003A5B48">
            <w:pPr>
              <w:spacing w:after="0"/>
              <w:rPr>
                <w:rFonts w:eastAsia="Times New Roman" w:cstheme="minorHAnsi"/>
                <w:color w:val="000000"/>
              </w:rPr>
            </w:pPr>
            <w:r w:rsidRPr="005361A7">
              <w:rPr>
                <w:rFonts w:eastAsia="Times New Roman" w:cstheme="minorHAnsi"/>
                <w:b/>
                <w:bCs/>
                <w:color w:val="000000"/>
              </w:rPr>
              <w:t>Referent rozpočtu</w:t>
            </w:r>
          </w:p>
        </w:tc>
      </w:tr>
      <w:tr w:rsidR="003A5B48" w:rsidRPr="008D32E4" w14:paraId="3807AC4C" w14:textId="77777777" w:rsidTr="003A5B48">
        <w:trPr>
          <w:trHeight w:val="295"/>
        </w:trPr>
        <w:tc>
          <w:tcPr>
            <w:tcW w:w="581" w:type="pct"/>
            <w:tcBorders>
              <w:left w:val="single" w:sz="4" w:space="0" w:color="auto"/>
            </w:tcBorders>
            <w:shd w:val="clear" w:color="auto" w:fill="auto"/>
            <w:noWrap/>
            <w:vAlign w:val="center"/>
          </w:tcPr>
          <w:p w14:paraId="0F5E584D"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316E3FA4" w14:textId="2B1EB6B9" w:rsidR="003A5B48" w:rsidRPr="008D32E4" w:rsidRDefault="003A5B48" w:rsidP="003A5B48">
            <w:pPr>
              <w:spacing w:after="0"/>
              <w:rPr>
                <w:rFonts w:eastAsia="Times New Roman" w:cstheme="minorHAnsi"/>
                <w:color w:val="000000"/>
              </w:rPr>
            </w:pPr>
            <w:r w:rsidRPr="005361A7">
              <w:rPr>
                <w:rFonts w:eastAsia="Times New Roman" w:cstheme="minorHAnsi"/>
                <w:b/>
                <w:bCs/>
                <w:color w:val="000000"/>
              </w:rPr>
              <w:t xml:space="preserve">M15.507.S.00000. </w:t>
            </w:r>
          </w:p>
        </w:tc>
        <w:tc>
          <w:tcPr>
            <w:tcW w:w="2430" w:type="pct"/>
            <w:tcBorders>
              <w:right w:val="single" w:sz="4" w:space="0" w:color="auto"/>
            </w:tcBorders>
            <w:shd w:val="clear" w:color="auto" w:fill="auto"/>
            <w:noWrap/>
            <w:vAlign w:val="bottom"/>
          </w:tcPr>
          <w:p w14:paraId="6D8C3CDC" w14:textId="5454AD13" w:rsidR="003A5B48" w:rsidRPr="008D32E4" w:rsidRDefault="003A5B48" w:rsidP="003A5B48">
            <w:pPr>
              <w:spacing w:after="0"/>
              <w:rPr>
                <w:rFonts w:eastAsia="Times New Roman" w:cstheme="minorHAnsi"/>
                <w:color w:val="000000"/>
              </w:rPr>
            </w:pPr>
            <w:r w:rsidRPr="005361A7">
              <w:rPr>
                <w:rFonts w:eastAsia="Times New Roman" w:cstheme="minorHAnsi"/>
                <w:b/>
                <w:bCs/>
                <w:color w:val="000000"/>
              </w:rPr>
              <w:t>Prepojenie rozpočtového opatrenia na doklad zmluvy</w:t>
            </w:r>
          </w:p>
        </w:tc>
      </w:tr>
      <w:tr w:rsidR="003A5B48" w:rsidRPr="008D32E4" w14:paraId="2241EA92" w14:textId="77777777" w:rsidTr="003A5B48">
        <w:trPr>
          <w:trHeight w:val="295"/>
        </w:trPr>
        <w:tc>
          <w:tcPr>
            <w:tcW w:w="581" w:type="pct"/>
            <w:tcBorders>
              <w:left w:val="single" w:sz="4" w:space="0" w:color="auto"/>
            </w:tcBorders>
            <w:shd w:val="clear" w:color="auto" w:fill="auto"/>
            <w:noWrap/>
            <w:vAlign w:val="center"/>
          </w:tcPr>
          <w:p w14:paraId="5A1515AF"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75EDC1E6" w14:textId="4F8091E3" w:rsidR="003A5B48" w:rsidRPr="008D32E4" w:rsidRDefault="003A5B48" w:rsidP="003A5B48">
            <w:pPr>
              <w:spacing w:after="0"/>
              <w:rPr>
                <w:rFonts w:eastAsia="Times New Roman" w:cstheme="minorHAnsi"/>
                <w:color w:val="000000"/>
              </w:rPr>
            </w:pPr>
            <w:r w:rsidRPr="005361A7">
              <w:rPr>
                <w:rFonts w:eastAsia="Times New Roman" w:cstheme="minorHAnsi"/>
                <w:color w:val="000000"/>
              </w:rPr>
              <w:t>M15.507.Z.00001.</w:t>
            </w:r>
          </w:p>
        </w:tc>
        <w:tc>
          <w:tcPr>
            <w:tcW w:w="2430" w:type="pct"/>
            <w:tcBorders>
              <w:right w:val="single" w:sz="4" w:space="0" w:color="auto"/>
            </w:tcBorders>
            <w:shd w:val="clear" w:color="auto" w:fill="auto"/>
            <w:noWrap/>
            <w:vAlign w:val="bottom"/>
          </w:tcPr>
          <w:p w14:paraId="3D3480E7" w14:textId="12697F18" w:rsidR="003A5B48" w:rsidRPr="008D32E4" w:rsidRDefault="003A5B48" w:rsidP="003A5B48">
            <w:pPr>
              <w:spacing w:after="0"/>
              <w:rPr>
                <w:rFonts w:eastAsia="Times New Roman" w:cstheme="minorHAnsi"/>
                <w:color w:val="000000"/>
              </w:rPr>
            </w:pPr>
            <w:r w:rsidRPr="005361A7">
              <w:rPr>
                <w:rFonts w:eastAsia="Times New Roman" w:cstheme="minorHAnsi"/>
                <w:color w:val="000000"/>
              </w:rPr>
              <w:t>Zobrazenie zoznamu nepriradených rozpočtových opatrení</w:t>
            </w:r>
          </w:p>
        </w:tc>
      </w:tr>
      <w:tr w:rsidR="003A5B48" w:rsidRPr="008D32E4" w14:paraId="5D077BDA" w14:textId="77777777" w:rsidTr="003A5B48">
        <w:trPr>
          <w:trHeight w:val="295"/>
        </w:trPr>
        <w:tc>
          <w:tcPr>
            <w:tcW w:w="581" w:type="pct"/>
            <w:tcBorders>
              <w:left w:val="single" w:sz="4" w:space="0" w:color="auto"/>
            </w:tcBorders>
            <w:shd w:val="clear" w:color="auto" w:fill="auto"/>
            <w:noWrap/>
            <w:vAlign w:val="center"/>
          </w:tcPr>
          <w:p w14:paraId="1D8A9124"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67EECC12" w14:textId="743D7616" w:rsidR="003A5B48" w:rsidRPr="008D32E4" w:rsidRDefault="003A5B48" w:rsidP="003A5B48">
            <w:pPr>
              <w:spacing w:after="0"/>
              <w:rPr>
                <w:rFonts w:eastAsia="Times New Roman" w:cstheme="minorHAnsi"/>
                <w:color w:val="000000"/>
              </w:rPr>
            </w:pPr>
            <w:r w:rsidRPr="005361A7">
              <w:rPr>
                <w:rFonts w:eastAsia="Times New Roman" w:cstheme="minorHAnsi"/>
                <w:color w:val="000000"/>
              </w:rPr>
              <w:t>M15.507.Z.00002.</w:t>
            </w:r>
          </w:p>
        </w:tc>
        <w:tc>
          <w:tcPr>
            <w:tcW w:w="2430" w:type="pct"/>
            <w:tcBorders>
              <w:right w:val="single" w:sz="4" w:space="0" w:color="auto"/>
            </w:tcBorders>
            <w:shd w:val="clear" w:color="auto" w:fill="auto"/>
            <w:noWrap/>
            <w:vAlign w:val="bottom"/>
          </w:tcPr>
          <w:p w14:paraId="4F17BF01" w14:textId="74E816EF" w:rsidR="003A5B48" w:rsidRPr="008D32E4" w:rsidRDefault="003A5B48" w:rsidP="003A5B48">
            <w:pPr>
              <w:spacing w:after="0"/>
              <w:rPr>
                <w:rFonts w:eastAsia="Times New Roman" w:cstheme="minorHAnsi"/>
                <w:color w:val="000000"/>
              </w:rPr>
            </w:pPr>
            <w:r w:rsidRPr="005361A7">
              <w:rPr>
                <w:rFonts w:eastAsia="Times New Roman" w:cstheme="minorHAnsi"/>
                <w:color w:val="000000"/>
              </w:rPr>
              <w:t>Vyhľadanie zmluvy v CEZ</w:t>
            </w:r>
          </w:p>
        </w:tc>
      </w:tr>
      <w:tr w:rsidR="003A5B48" w:rsidRPr="008D32E4" w14:paraId="1CD7865E" w14:textId="77777777" w:rsidTr="003A5B48">
        <w:trPr>
          <w:trHeight w:val="295"/>
        </w:trPr>
        <w:tc>
          <w:tcPr>
            <w:tcW w:w="581" w:type="pct"/>
            <w:tcBorders>
              <w:left w:val="single" w:sz="4" w:space="0" w:color="auto"/>
            </w:tcBorders>
            <w:shd w:val="clear" w:color="auto" w:fill="auto"/>
            <w:noWrap/>
            <w:vAlign w:val="center"/>
          </w:tcPr>
          <w:p w14:paraId="717B178D"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1A4370AA" w14:textId="06C4D33A" w:rsidR="003A5B48" w:rsidRPr="008D32E4" w:rsidRDefault="003A5B48" w:rsidP="003A5B48">
            <w:pPr>
              <w:spacing w:after="0"/>
              <w:rPr>
                <w:rFonts w:eastAsia="Times New Roman" w:cstheme="minorHAnsi"/>
                <w:color w:val="000000"/>
              </w:rPr>
            </w:pPr>
            <w:r w:rsidRPr="005361A7">
              <w:rPr>
                <w:rFonts w:eastAsia="Times New Roman" w:cstheme="minorHAnsi"/>
                <w:color w:val="000000"/>
              </w:rPr>
              <w:t>M15.507.Z.00003.</w:t>
            </w:r>
          </w:p>
        </w:tc>
        <w:tc>
          <w:tcPr>
            <w:tcW w:w="2430" w:type="pct"/>
            <w:tcBorders>
              <w:right w:val="single" w:sz="4" w:space="0" w:color="auto"/>
            </w:tcBorders>
            <w:shd w:val="clear" w:color="auto" w:fill="auto"/>
            <w:noWrap/>
            <w:vAlign w:val="bottom"/>
          </w:tcPr>
          <w:p w14:paraId="2845E7BA" w14:textId="47E80A0C" w:rsidR="003A5B48" w:rsidRPr="008D32E4" w:rsidRDefault="003A5B48" w:rsidP="003A5B48">
            <w:pPr>
              <w:spacing w:after="0"/>
              <w:rPr>
                <w:rFonts w:eastAsia="Times New Roman" w:cstheme="minorHAnsi"/>
                <w:color w:val="000000"/>
              </w:rPr>
            </w:pPr>
            <w:r w:rsidRPr="005361A7">
              <w:rPr>
                <w:rFonts w:eastAsia="Times New Roman" w:cstheme="minorHAnsi"/>
                <w:color w:val="000000"/>
              </w:rPr>
              <w:t>Prepojenie dokladu zmluvy (rezervačný doklad) na doklad rozpočtového opatrenia (ELÚR)</w:t>
            </w:r>
          </w:p>
        </w:tc>
      </w:tr>
      <w:tr w:rsidR="003A5B48" w:rsidRPr="008D32E4" w14:paraId="3D172C0D" w14:textId="77777777" w:rsidTr="003A5B48">
        <w:trPr>
          <w:trHeight w:val="295"/>
        </w:trPr>
        <w:tc>
          <w:tcPr>
            <w:tcW w:w="581" w:type="pct"/>
            <w:tcBorders>
              <w:left w:val="single" w:sz="4" w:space="0" w:color="auto"/>
            </w:tcBorders>
            <w:shd w:val="clear" w:color="auto" w:fill="auto"/>
            <w:noWrap/>
            <w:vAlign w:val="center"/>
          </w:tcPr>
          <w:p w14:paraId="04275BBE"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74F72F6F" w14:textId="2BD64E1F" w:rsidR="003A5B48" w:rsidRPr="008D32E4" w:rsidRDefault="003A5B48" w:rsidP="003A5B48">
            <w:pPr>
              <w:spacing w:after="0"/>
              <w:rPr>
                <w:rFonts w:eastAsia="Times New Roman" w:cstheme="minorHAnsi"/>
                <w:color w:val="000000"/>
              </w:rPr>
            </w:pPr>
            <w:r w:rsidRPr="005361A7">
              <w:rPr>
                <w:rFonts w:eastAsia="Times New Roman" w:cstheme="minorHAnsi"/>
                <w:color w:val="000000"/>
              </w:rPr>
              <w:t>M15.507.Z.00004.</w:t>
            </w:r>
          </w:p>
        </w:tc>
        <w:tc>
          <w:tcPr>
            <w:tcW w:w="2430" w:type="pct"/>
            <w:tcBorders>
              <w:right w:val="single" w:sz="4" w:space="0" w:color="auto"/>
            </w:tcBorders>
            <w:shd w:val="clear" w:color="auto" w:fill="auto"/>
            <w:noWrap/>
            <w:vAlign w:val="bottom"/>
          </w:tcPr>
          <w:p w14:paraId="49E3A3FE" w14:textId="577FB3FB" w:rsidR="003A5B48" w:rsidRDefault="003A5B48" w:rsidP="003A5B48">
            <w:pPr>
              <w:spacing w:after="0"/>
              <w:rPr>
                <w:rFonts w:eastAsia="Times New Roman" w:cstheme="minorHAnsi"/>
                <w:color w:val="000000"/>
              </w:rPr>
            </w:pPr>
            <w:r w:rsidRPr="005361A7">
              <w:rPr>
                <w:rFonts w:eastAsia="Times New Roman" w:cstheme="minorHAnsi"/>
                <w:color w:val="000000"/>
              </w:rPr>
              <w:t>Zobrazenie plnenia na zmluvy rozpočtovým opatrením</w:t>
            </w:r>
          </w:p>
        </w:tc>
      </w:tr>
      <w:tr w:rsidR="003A5B48" w:rsidRPr="008D32E4" w14:paraId="3FAFD0B8" w14:textId="77777777" w:rsidTr="003A5B48">
        <w:trPr>
          <w:trHeight w:val="295"/>
        </w:trPr>
        <w:tc>
          <w:tcPr>
            <w:tcW w:w="581" w:type="pct"/>
            <w:tcBorders>
              <w:left w:val="single" w:sz="4" w:space="0" w:color="auto"/>
            </w:tcBorders>
            <w:shd w:val="clear" w:color="auto" w:fill="auto"/>
            <w:noWrap/>
            <w:vAlign w:val="bottom"/>
          </w:tcPr>
          <w:p w14:paraId="3E3A0D50" w14:textId="77777777" w:rsidR="003A5B48" w:rsidRPr="008D32E4" w:rsidRDefault="003A5B48" w:rsidP="003A5B48">
            <w:pPr>
              <w:spacing w:after="0"/>
              <w:rPr>
                <w:rFonts w:eastAsia="Times New Roman" w:cstheme="minorHAnsi"/>
                <w:color w:val="000000"/>
              </w:rPr>
            </w:pPr>
          </w:p>
        </w:tc>
        <w:tc>
          <w:tcPr>
            <w:tcW w:w="1989" w:type="pct"/>
            <w:shd w:val="clear" w:color="auto" w:fill="auto"/>
            <w:noWrap/>
            <w:vAlign w:val="bottom"/>
          </w:tcPr>
          <w:p w14:paraId="541D9A8A" w14:textId="77777777" w:rsidR="003A5B48" w:rsidRPr="008D32E4" w:rsidRDefault="003A5B48" w:rsidP="003A5B48">
            <w:pPr>
              <w:spacing w:after="0"/>
              <w:rPr>
                <w:rFonts w:eastAsia="Times New Roman" w:cstheme="minorHAnsi"/>
                <w:color w:val="000000"/>
              </w:rPr>
            </w:pPr>
          </w:p>
        </w:tc>
        <w:tc>
          <w:tcPr>
            <w:tcW w:w="2430" w:type="pct"/>
            <w:tcBorders>
              <w:right w:val="single" w:sz="4" w:space="0" w:color="auto"/>
            </w:tcBorders>
            <w:shd w:val="clear" w:color="auto" w:fill="auto"/>
            <w:noWrap/>
            <w:vAlign w:val="bottom"/>
          </w:tcPr>
          <w:p w14:paraId="0EBE903B" w14:textId="77777777" w:rsidR="003A5B48" w:rsidRDefault="003A5B48" w:rsidP="003A5B48">
            <w:pPr>
              <w:spacing w:after="0"/>
              <w:rPr>
                <w:rFonts w:eastAsia="Times New Roman" w:cstheme="minorHAnsi"/>
                <w:color w:val="000000"/>
              </w:rPr>
            </w:pPr>
          </w:p>
        </w:tc>
      </w:tr>
      <w:tr w:rsidR="003A5B48" w:rsidRPr="008D32E4" w14:paraId="55CDEC60" w14:textId="77777777" w:rsidTr="003A5B48">
        <w:trPr>
          <w:trHeight w:val="295"/>
        </w:trPr>
        <w:tc>
          <w:tcPr>
            <w:tcW w:w="581" w:type="pct"/>
            <w:tcBorders>
              <w:top w:val="single" w:sz="4" w:space="0" w:color="auto"/>
              <w:left w:val="single" w:sz="4" w:space="0" w:color="auto"/>
              <w:bottom w:val="single" w:sz="4" w:space="0" w:color="auto"/>
              <w:right w:val="nil"/>
            </w:tcBorders>
            <w:shd w:val="clear" w:color="auto" w:fill="auto"/>
            <w:noWrap/>
          </w:tcPr>
          <w:p w14:paraId="6F9CEE20" w14:textId="15397365" w:rsidR="003A5B48" w:rsidRPr="008D32E4" w:rsidRDefault="003A5B48" w:rsidP="003A5B48">
            <w:pPr>
              <w:spacing w:after="0"/>
              <w:rPr>
                <w:rFonts w:eastAsia="Times New Roman" w:cstheme="minorHAnsi"/>
                <w:color w:val="000000"/>
              </w:rPr>
            </w:pPr>
            <w:r w:rsidRPr="008D32E4">
              <w:rPr>
                <w:rFonts w:eastAsia="Times New Roman" w:cstheme="minorHAnsi"/>
                <w:b/>
                <w:bCs/>
                <w:color w:val="000000"/>
              </w:rPr>
              <w:t>Vstup do procesu</w:t>
            </w:r>
          </w:p>
        </w:tc>
        <w:tc>
          <w:tcPr>
            <w:tcW w:w="1989" w:type="pct"/>
            <w:tcBorders>
              <w:top w:val="single" w:sz="4" w:space="0" w:color="auto"/>
              <w:left w:val="nil"/>
              <w:bottom w:val="single" w:sz="4" w:space="0" w:color="auto"/>
              <w:right w:val="nil"/>
            </w:tcBorders>
            <w:shd w:val="clear" w:color="auto" w:fill="auto"/>
            <w:noWrap/>
          </w:tcPr>
          <w:p w14:paraId="3428CD0E" w14:textId="77777777" w:rsidR="00EA5A03" w:rsidRDefault="00EA5A03" w:rsidP="00EA5A03">
            <w:pPr>
              <w:spacing w:after="0"/>
              <w:rPr>
                <w:rFonts w:eastAsia="Times New Roman" w:cstheme="minorHAnsi"/>
                <w:color w:val="000000"/>
              </w:rPr>
            </w:pPr>
            <w:r w:rsidRPr="008D32E4">
              <w:rPr>
                <w:rFonts w:eastAsia="Times New Roman" w:cstheme="minorHAnsi"/>
                <w:color w:val="000000"/>
              </w:rPr>
              <w:t xml:space="preserve">Podklady pre zmluvu o poskytnutí nenávratných </w:t>
            </w:r>
          </w:p>
          <w:p w14:paraId="1C4F5C6B" w14:textId="77777777" w:rsidR="00EA5A03" w:rsidRPr="008D32E4" w:rsidRDefault="00EA5A03" w:rsidP="00EA5A03">
            <w:pPr>
              <w:spacing w:after="0"/>
              <w:rPr>
                <w:rFonts w:eastAsia="Times New Roman" w:cstheme="minorHAnsi"/>
                <w:color w:val="000000"/>
              </w:rPr>
            </w:pPr>
            <w:r w:rsidRPr="008D32E4">
              <w:rPr>
                <w:rFonts w:eastAsia="Times New Roman" w:cstheme="minorHAnsi"/>
                <w:color w:val="000000"/>
              </w:rPr>
              <w:t>finančných výpomocí</w:t>
            </w:r>
          </w:p>
          <w:p w14:paraId="2B992F8B" w14:textId="77777777" w:rsidR="00EA5A03" w:rsidRDefault="00EA5A03" w:rsidP="00EA5A03">
            <w:pPr>
              <w:spacing w:after="0"/>
              <w:rPr>
                <w:rFonts w:eastAsia="Times New Roman" w:cstheme="minorHAnsi"/>
                <w:color w:val="000000"/>
              </w:rPr>
            </w:pPr>
            <w:r w:rsidRPr="008D32E4">
              <w:rPr>
                <w:rFonts w:eastAsia="Times New Roman" w:cstheme="minorHAnsi"/>
                <w:color w:val="000000"/>
              </w:rPr>
              <w:t>Výsledky kontrol využitia prostriedkov nenávratnej finančnej výpomoc</w:t>
            </w:r>
            <w:r>
              <w:rPr>
                <w:rFonts w:eastAsia="Times New Roman" w:cstheme="minorHAnsi"/>
                <w:color w:val="000000"/>
              </w:rPr>
              <w:t>i</w:t>
            </w:r>
            <w:r w:rsidRPr="008D32E4">
              <w:rPr>
                <w:rFonts w:eastAsia="Times New Roman" w:cstheme="minorHAnsi"/>
                <w:color w:val="000000"/>
              </w:rPr>
              <w:t xml:space="preserve"> </w:t>
            </w:r>
          </w:p>
          <w:p w14:paraId="580C9AD8" w14:textId="2EC1A397" w:rsidR="003A5B48" w:rsidRPr="008D32E4" w:rsidRDefault="00EA5A03" w:rsidP="00EA5A03">
            <w:pPr>
              <w:spacing w:after="0"/>
              <w:rPr>
                <w:rFonts w:eastAsia="Times New Roman" w:cstheme="minorHAnsi"/>
                <w:color w:val="000000"/>
              </w:rPr>
            </w:pPr>
            <w:r>
              <w:rPr>
                <w:rFonts w:cstheme="minorHAnsi"/>
                <w:color w:val="000000"/>
              </w:rPr>
              <w:t>Vykonaná základná finančná kontrola</w:t>
            </w:r>
          </w:p>
          <w:p w14:paraId="72683D8E" w14:textId="402E0F03" w:rsidR="003A5B48" w:rsidRPr="008D32E4" w:rsidRDefault="003A5B48" w:rsidP="003A5B48">
            <w:pPr>
              <w:spacing w:after="0"/>
              <w:rPr>
                <w:rFonts w:cstheme="minorHAnsi"/>
                <w:color w:val="000000"/>
              </w:rPr>
            </w:pPr>
          </w:p>
        </w:tc>
        <w:tc>
          <w:tcPr>
            <w:tcW w:w="2430" w:type="pct"/>
            <w:tcBorders>
              <w:top w:val="single" w:sz="4" w:space="0" w:color="auto"/>
              <w:left w:val="nil"/>
              <w:bottom w:val="single" w:sz="4" w:space="0" w:color="auto"/>
              <w:right w:val="single" w:sz="4" w:space="0" w:color="auto"/>
            </w:tcBorders>
            <w:shd w:val="clear" w:color="auto" w:fill="auto"/>
            <w:noWrap/>
          </w:tcPr>
          <w:p w14:paraId="240E5B36" w14:textId="4AFF0327" w:rsidR="003A5B48" w:rsidRPr="008D32E4" w:rsidRDefault="003A5B48" w:rsidP="003A5B48">
            <w:pPr>
              <w:spacing w:after="0"/>
              <w:rPr>
                <w:rFonts w:cstheme="minorHAnsi"/>
                <w:color w:val="000000"/>
              </w:rPr>
            </w:pPr>
          </w:p>
        </w:tc>
      </w:tr>
      <w:tr w:rsidR="003A5B48" w:rsidRPr="008D32E4" w14:paraId="59114A9C" w14:textId="77777777" w:rsidTr="003A5B48">
        <w:trPr>
          <w:trHeight w:val="295"/>
        </w:trPr>
        <w:tc>
          <w:tcPr>
            <w:tcW w:w="581" w:type="pct"/>
            <w:tcBorders>
              <w:top w:val="single" w:sz="4" w:space="0" w:color="auto"/>
              <w:left w:val="single" w:sz="4" w:space="0" w:color="auto"/>
              <w:bottom w:val="single" w:sz="4" w:space="0" w:color="auto"/>
              <w:right w:val="nil"/>
            </w:tcBorders>
            <w:shd w:val="clear" w:color="auto" w:fill="auto"/>
            <w:noWrap/>
            <w:vAlign w:val="bottom"/>
          </w:tcPr>
          <w:p w14:paraId="0B48971C" w14:textId="77777777" w:rsidR="003A5B48" w:rsidRPr="008D32E4" w:rsidRDefault="003A5B48" w:rsidP="003A5B48">
            <w:pPr>
              <w:spacing w:after="0"/>
              <w:rPr>
                <w:rFonts w:eastAsia="Times New Roman" w:cstheme="minorHAnsi"/>
                <w:b/>
                <w:bCs/>
                <w:color w:val="000000"/>
              </w:rPr>
            </w:pPr>
            <w:r w:rsidRPr="008D32E4">
              <w:rPr>
                <w:rFonts w:eastAsia="Times New Roman" w:cstheme="minorHAnsi"/>
                <w:b/>
                <w:bCs/>
                <w:color w:val="000000"/>
              </w:rPr>
              <w:t>Výstup z procesu</w:t>
            </w:r>
          </w:p>
          <w:p w14:paraId="60704A53" w14:textId="77777777" w:rsidR="003A5B48" w:rsidRPr="008D32E4" w:rsidRDefault="003A5B48" w:rsidP="003A5B48">
            <w:pPr>
              <w:spacing w:after="0"/>
              <w:rPr>
                <w:rFonts w:eastAsia="Times New Roman" w:cstheme="minorHAnsi"/>
                <w:color w:val="000000"/>
              </w:rPr>
            </w:pPr>
          </w:p>
        </w:tc>
        <w:tc>
          <w:tcPr>
            <w:tcW w:w="1989" w:type="pct"/>
            <w:tcBorders>
              <w:top w:val="single" w:sz="4" w:space="0" w:color="auto"/>
              <w:left w:val="nil"/>
              <w:bottom w:val="single" w:sz="4" w:space="0" w:color="auto"/>
              <w:right w:val="nil"/>
            </w:tcBorders>
            <w:shd w:val="clear" w:color="auto" w:fill="auto"/>
            <w:noWrap/>
            <w:vAlign w:val="bottom"/>
          </w:tcPr>
          <w:p w14:paraId="2DB938EC" w14:textId="0E28E803" w:rsidR="003A5B48" w:rsidRPr="008D32E4" w:rsidRDefault="003A5B48" w:rsidP="003A5B48">
            <w:pPr>
              <w:spacing w:after="0"/>
              <w:rPr>
                <w:rFonts w:cstheme="minorHAnsi"/>
                <w:color w:val="000000"/>
              </w:rPr>
            </w:pPr>
            <w:r w:rsidRPr="008D32E4">
              <w:rPr>
                <w:rFonts w:cstheme="minorHAnsi"/>
                <w:color w:val="000000"/>
              </w:rPr>
              <w:t>Zaevidované a vysporiadané pohľadávky a záväzky</w:t>
            </w:r>
          </w:p>
          <w:p w14:paraId="4EE04265" w14:textId="26467BEA" w:rsidR="003A5B48" w:rsidRPr="008D32E4" w:rsidRDefault="003A5B48" w:rsidP="003A5B48">
            <w:pPr>
              <w:spacing w:after="0"/>
              <w:rPr>
                <w:rFonts w:cstheme="minorHAnsi"/>
                <w:color w:val="000000"/>
              </w:rPr>
            </w:pPr>
            <w:r w:rsidRPr="008D32E4">
              <w:rPr>
                <w:rFonts w:cstheme="minorHAnsi"/>
                <w:color w:val="000000"/>
              </w:rPr>
              <w:t>Spracované rozpočtové opatrenia pri úhradách rozpočtovým opatrením</w:t>
            </w:r>
          </w:p>
        </w:tc>
        <w:tc>
          <w:tcPr>
            <w:tcW w:w="2430" w:type="pct"/>
            <w:tcBorders>
              <w:top w:val="single" w:sz="4" w:space="0" w:color="auto"/>
              <w:left w:val="nil"/>
              <w:bottom w:val="single" w:sz="4" w:space="0" w:color="auto"/>
              <w:right w:val="single" w:sz="4" w:space="0" w:color="auto"/>
            </w:tcBorders>
            <w:shd w:val="clear" w:color="auto" w:fill="auto"/>
            <w:noWrap/>
            <w:vAlign w:val="bottom"/>
          </w:tcPr>
          <w:p w14:paraId="0C5FFA48" w14:textId="4202AF4C" w:rsidR="003A5B48" w:rsidRPr="008D32E4" w:rsidRDefault="003A5B48" w:rsidP="003A5B48">
            <w:pPr>
              <w:spacing w:after="0"/>
              <w:rPr>
                <w:rFonts w:cstheme="minorHAnsi"/>
                <w:color w:val="000000"/>
              </w:rPr>
            </w:pPr>
          </w:p>
        </w:tc>
      </w:tr>
    </w:tbl>
    <w:p w14:paraId="72C98426" w14:textId="4D2BDAB0" w:rsidR="00A23147" w:rsidRPr="008D32E4" w:rsidRDefault="00A23147" w:rsidP="00581C2E">
      <w:pPr>
        <w:pStyle w:val="Popis"/>
        <w:rPr>
          <w:rFonts w:cstheme="minorHAnsi"/>
        </w:rPr>
      </w:pPr>
      <w:r w:rsidRPr="008D32E4">
        <w:rPr>
          <w:rFonts w:cstheme="minorHAnsi"/>
        </w:rPr>
        <w:t xml:space="preserve">Tabuľka </w:t>
      </w:r>
      <w:r w:rsidRPr="008D32E4">
        <w:rPr>
          <w:rFonts w:cstheme="minorHAnsi"/>
        </w:rPr>
        <w:fldChar w:fldCharType="begin"/>
      </w:r>
      <w:r w:rsidRPr="008D32E4">
        <w:rPr>
          <w:rFonts w:cstheme="minorHAnsi"/>
        </w:rPr>
        <w:instrText xml:space="preserve"> SEQ Tabuľka \* ARABIC </w:instrText>
      </w:r>
      <w:r w:rsidRPr="008D32E4">
        <w:rPr>
          <w:rFonts w:cstheme="minorHAnsi"/>
        </w:rPr>
        <w:fldChar w:fldCharType="separate"/>
      </w:r>
      <w:r w:rsidR="00FB2802" w:rsidRPr="008D32E4">
        <w:rPr>
          <w:rFonts w:cstheme="minorHAnsi"/>
        </w:rPr>
        <w:t>1</w:t>
      </w:r>
      <w:r w:rsidRPr="008D32E4">
        <w:rPr>
          <w:rFonts w:cstheme="minorHAnsi"/>
        </w:rPr>
        <w:fldChar w:fldCharType="end"/>
      </w:r>
      <w:r w:rsidRPr="008D32E4">
        <w:rPr>
          <w:rFonts w:cstheme="minorHAnsi"/>
        </w:rPr>
        <w:t xml:space="preserve"> Roly a</w:t>
      </w:r>
      <w:r w:rsidR="00581C2E" w:rsidRPr="008D32E4">
        <w:rPr>
          <w:rFonts w:cstheme="minorHAnsi"/>
        </w:rPr>
        <w:t> </w:t>
      </w:r>
      <w:r w:rsidRPr="008D32E4">
        <w:rPr>
          <w:rFonts w:cstheme="minorHAnsi"/>
        </w:rPr>
        <w:t>aktivity</w:t>
      </w:r>
    </w:p>
    <w:p w14:paraId="53E559C2" w14:textId="77777777" w:rsidR="00581C2E" w:rsidRPr="008D32E4" w:rsidRDefault="00581C2E" w:rsidP="00581C2E">
      <w:pPr>
        <w:rPr>
          <w:rFonts w:cstheme="minorHAnsi"/>
        </w:rPr>
      </w:pPr>
    </w:p>
    <w:p w14:paraId="6B29124C" w14:textId="0107CC42" w:rsidR="00FB2802" w:rsidRPr="008D32E4" w:rsidRDefault="00335863" w:rsidP="00FB2802">
      <w:pPr>
        <w:rPr>
          <w:rFonts w:cstheme="minorHAnsi"/>
        </w:rPr>
      </w:pPr>
      <w:r w:rsidRPr="008D32E4">
        <w:rPr>
          <w:rStyle w:val="normaltextrun"/>
          <w:rFonts w:cstheme="minorHAnsi"/>
          <w:b/>
          <w:bCs/>
          <w:color w:val="000000"/>
          <w:shd w:val="clear" w:color="auto" w:fill="FFFFFF"/>
        </w:rPr>
        <w:t>Popis vykonaných aktivít</w:t>
      </w:r>
      <w:r w:rsidRPr="008D32E4">
        <w:rPr>
          <w:rStyle w:val="eop"/>
          <w:rFonts w:cstheme="minorHAnsi"/>
          <w:b/>
          <w:bCs/>
          <w:color w:val="000000"/>
          <w:shd w:val="clear" w:color="auto" w:fill="FFFFFF"/>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470"/>
      </w:tblGrid>
      <w:tr w:rsidR="00AC428D" w:rsidRPr="008D32E4" w14:paraId="34A3BDAA"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D9D9D9"/>
            <w:hideMark/>
          </w:tcPr>
          <w:p w14:paraId="6225C9F2" w14:textId="77777777" w:rsidR="00AC428D" w:rsidRPr="008D32E4" w:rsidRDefault="00AC428D" w:rsidP="00AC428D">
            <w:pPr>
              <w:spacing w:after="0"/>
              <w:textAlignment w:val="baseline"/>
              <w:rPr>
                <w:rFonts w:eastAsia="Times New Roman" w:cstheme="minorHAnsi"/>
                <w:lang w:eastAsia="sk-SK"/>
              </w:rPr>
            </w:pPr>
            <w:r w:rsidRPr="008D32E4">
              <w:rPr>
                <w:rFonts w:eastAsia="Times New Roman" w:cstheme="minorHAnsi"/>
                <w:b/>
                <w:bCs/>
                <w:color w:val="000000"/>
                <w:lang w:eastAsia="sk-SK"/>
              </w:rPr>
              <w:t>Aktivita</w:t>
            </w:r>
            <w:r w:rsidRPr="008D32E4">
              <w:rPr>
                <w:rFonts w:eastAsia="Times New Roman" w:cstheme="minorHAnsi"/>
                <w:color w:val="000000"/>
                <w:lang w:eastAsia="sk-SK"/>
              </w:rPr>
              <w:t> </w:t>
            </w:r>
          </w:p>
        </w:tc>
        <w:tc>
          <w:tcPr>
            <w:tcW w:w="7470" w:type="dxa"/>
            <w:tcBorders>
              <w:top w:val="single" w:sz="6" w:space="0" w:color="auto"/>
              <w:left w:val="nil"/>
              <w:bottom w:val="single" w:sz="6" w:space="0" w:color="auto"/>
              <w:right w:val="single" w:sz="6" w:space="0" w:color="auto"/>
            </w:tcBorders>
            <w:shd w:val="clear" w:color="auto" w:fill="D9D9D9"/>
            <w:hideMark/>
          </w:tcPr>
          <w:p w14:paraId="5EC131E3" w14:textId="77777777" w:rsidR="00AC428D" w:rsidRPr="008D32E4" w:rsidRDefault="00AC428D" w:rsidP="00AC428D">
            <w:pPr>
              <w:spacing w:after="0"/>
              <w:textAlignment w:val="baseline"/>
              <w:rPr>
                <w:rFonts w:eastAsia="Times New Roman" w:cstheme="minorHAnsi"/>
                <w:lang w:eastAsia="sk-SK"/>
              </w:rPr>
            </w:pPr>
            <w:r w:rsidRPr="008D32E4">
              <w:rPr>
                <w:rFonts w:eastAsia="Times New Roman" w:cstheme="minorHAnsi"/>
                <w:b/>
                <w:bCs/>
                <w:color w:val="000000"/>
                <w:lang w:eastAsia="sk-SK"/>
              </w:rPr>
              <w:t>Popis</w:t>
            </w:r>
            <w:r w:rsidRPr="008D32E4">
              <w:rPr>
                <w:rFonts w:eastAsia="Times New Roman" w:cstheme="minorHAnsi"/>
                <w:color w:val="000000"/>
                <w:lang w:eastAsia="sk-SK"/>
              </w:rPr>
              <w:t> </w:t>
            </w:r>
          </w:p>
        </w:tc>
      </w:tr>
      <w:tr w:rsidR="00FD409E" w:rsidRPr="008D32E4" w14:paraId="3185C41D"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5D29FF7" w14:textId="4FC11F18"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b/>
                <w:bCs/>
                <w:color w:val="000000"/>
              </w:rPr>
              <w:t xml:space="preserve">M15.507.S.00000. </w:t>
            </w:r>
          </w:p>
        </w:tc>
        <w:tc>
          <w:tcPr>
            <w:tcW w:w="7470" w:type="dxa"/>
            <w:tcBorders>
              <w:top w:val="single" w:sz="6" w:space="0" w:color="auto"/>
              <w:left w:val="nil"/>
              <w:bottom w:val="single" w:sz="6" w:space="0" w:color="auto"/>
              <w:right w:val="single" w:sz="6" w:space="0" w:color="auto"/>
            </w:tcBorders>
            <w:shd w:val="clear" w:color="auto" w:fill="FFFFFF" w:themeFill="background1"/>
            <w:vAlign w:val="bottom"/>
          </w:tcPr>
          <w:p w14:paraId="1C4F83F3" w14:textId="3ED2B3FC"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b/>
                <w:bCs/>
                <w:color w:val="000000"/>
              </w:rPr>
              <w:t>Prepojenie rozpočtového opatrenia na doklad zmluvy</w:t>
            </w:r>
          </w:p>
        </w:tc>
      </w:tr>
      <w:tr w:rsidR="00FD409E" w:rsidRPr="008D32E4" w14:paraId="00910336"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A92A57D" w14:textId="344FA357"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M15.507.Z.00001.</w:t>
            </w:r>
          </w:p>
        </w:tc>
        <w:tc>
          <w:tcPr>
            <w:tcW w:w="7470" w:type="dxa"/>
            <w:tcBorders>
              <w:top w:val="single" w:sz="6" w:space="0" w:color="auto"/>
              <w:left w:val="nil"/>
              <w:bottom w:val="single" w:sz="6" w:space="0" w:color="auto"/>
              <w:right w:val="single" w:sz="6" w:space="0" w:color="auto"/>
            </w:tcBorders>
            <w:shd w:val="clear" w:color="auto" w:fill="FFFFFF" w:themeFill="background1"/>
            <w:vAlign w:val="bottom"/>
          </w:tcPr>
          <w:p w14:paraId="26E37F22" w14:textId="6E39FD72"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Zobrazenie zoznamu nepriradených rozpočtových opatrení prijatých z EIS RIS do systému CES.</w:t>
            </w:r>
          </w:p>
        </w:tc>
      </w:tr>
      <w:tr w:rsidR="00FD409E" w:rsidRPr="008D32E4" w14:paraId="406C8906"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D167E18" w14:textId="41BCEB23"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M15.507.Z.00002.</w:t>
            </w:r>
          </w:p>
        </w:tc>
        <w:tc>
          <w:tcPr>
            <w:tcW w:w="7470" w:type="dxa"/>
            <w:tcBorders>
              <w:top w:val="single" w:sz="6" w:space="0" w:color="auto"/>
              <w:left w:val="nil"/>
              <w:bottom w:val="single" w:sz="6" w:space="0" w:color="auto"/>
              <w:right w:val="single" w:sz="6" w:space="0" w:color="auto"/>
            </w:tcBorders>
            <w:shd w:val="clear" w:color="auto" w:fill="FFFFFF" w:themeFill="background1"/>
            <w:vAlign w:val="bottom"/>
          </w:tcPr>
          <w:p w14:paraId="32F01BF0" w14:textId="28E8BF00"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Vyhľadanie zmluvy v CEZ v databáze zmlúv pre nenávratné finančné výpomoc</w:t>
            </w:r>
            <w:r w:rsidR="00971086">
              <w:rPr>
                <w:rFonts w:eastAsia="Times New Roman" w:cstheme="minorHAnsi"/>
                <w:color w:val="000000"/>
              </w:rPr>
              <w:t>í</w:t>
            </w:r>
          </w:p>
        </w:tc>
      </w:tr>
      <w:tr w:rsidR="00FD409E" w:rsidRPr="008D32E4" w14:paraId="4B3BCB54"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1989ABD" w14:textId="0994713B"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M15.507.Z.00003.</w:t>
            </w:r>
          </w:p>
        </w:tc>
        <w:tc>
          <w:tcPr>
            <w:tcW w:w="7470" w:type="dxa"/>
            <w:tcBorders>
              <w:top w:val="single" w:sz="6" w:space="0" w:color="auto"/>
              <w:left w:val="nil"/>
              <w:bottom w:val="single" w:sz="6" w:space="0" w:color="auto"/>
              <w:right w:val="single" w:sz="6" w:space="0" w:color="auto"/>
            </w:tcBorders>
            <w:shd w:val="clear" w:color="auto" w:fill="FFFFFF" w:themeFill="background1"/>
            <w:vAlign w:val="bottom"/>
          </w:tcPr>
          <w:p w14:paraId="36754098" w14:textId="1EC899DC"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Prepojenie dokladu zmluvy (rezervačný doklad) na doklad rozpočtového opatrenia (ELÚR) a vytvorenie dokladu poníženia rozpočtu s odkazom na číslo ELÚRu.</w:t>
            </w:r>
          </w:p>
        </w:tc>
      </w:tr>
      <w:tr w:rsidR="00FD409E" w:rsidRPr="008D32E4" w14:paraId="62D193AE" w14:textId="77777777" w:rsidTr="00FD409E">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C82304E" w14:textId="10C353F5"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M15.507.Z.00004.</w:t>
            </w:r>
          </w:p>
        </w:tc>
        <w:tc>
          <w:tcPr>
            <w:tcW w:w="7470" w:type="dxa"/>
            <w:tcBorders>
              <w:top w:val="single" w:sz="6" w:space="0" w:color="auto"/>
              <w:left w:val="nil"/>
              <w:bottom w:val="single" w:sz="6" w:space="0" w:color="auto"/>
              <w:right w:val="single" w:sz="6" w:space="0" w:color="auto"/>
            </w:tcBorders>
            <w:shd w:val="clear" w:color="auto" w:fill="FFFFFF" w:themeFill="background1"/>
            <w:vAlign w:val="bottom"/>
          </w:tcPr>
          <w:p w14:paraId="4983DD67" w14:textId="065D874E" w:rsidR="00FD409E" w:rsidRPr="008D32E4" w:rsidRDefault="00FD409E" w:rsidP="00FD409E">
            <w:pPr>
              <w:spacing w:after="0"/>
              <w:textAlignment w:val="baseline"/>
              <w:rPr>
                <w:rFonts w:eastAsia="Times New Roman" w:cstheme="minorHAnsi"/>
                <w:b/>
                <w:bCs/>
                <w:color w:val="000000"/>
                <w:lang w:eastAsia="sk-SK"/>
              </w:rPr>
            </w:pPr>
            <w:r w:rsidRPr="005361A7">
              <w:rPr>
                <w:rFonts w:eastAsia="Times New Roman" w:cstheme="minorHAnsi"/>
                <w:color w:val="000000"/>
              </w:rPr>
              <w:t>Zobrazenie plnenia na zmluve vytvorené manuálnym ponížením rezervačného dokladu.</w:t>
            </w:r>
          </w:p>
        </w:tc>
      </w:tr>
      <w:tr w:rsidR="00FD409E" w:rsidRPr="008D32E4" w14:paraId="3C8745CD" w14:textId="77777777" w:rsidTr="00FD409E">
        <w:trPr>
          <w:trHeight w:val="300"/>
        </w:trPr>
        <w:tc>
          <w:tcPr>
            <w:tcW w:w="1860" w:type="dxa"/>
            <w:tcBorders>
              <w:top w:val="nil"/>
              <w:left w:val="single" w:sz="6" w:space="0" w:color="auto"/>
              <w:bottom w:val="single" w:sz="6" w:space="0" w:color="auto"/>
              <w:right w:val="single" w:sz="6" w:space="0" w:color="auto"/>
            </w:tcBorders>
            <w:shd w:val="clear" w:color="auto" w:fill="auto"/>
            <w:vAlign w:val="bottom"/>
            <w:hideMark/>
          </w:tcPr>
          <w:p w14:paraId="08AFE154" w14:textId="0CF7FAF0" w:rsidR="00FD409E" w:rsidRPr="008D32E4" w:rsidRDefault="00FD409E" w:rsidP="00FD409E">
            <w:pPr>
              <w:spacing w:after="0"/>
              <w:textAlignment w:val="baseline"/>
              <w:rPr>
                <w:rFonts w:eastAsia="Times New Roman" w:cstheme="minorHAnsi"/>
                <w:lang w:eastAsia="sk-SK"/>
              </w:rPr>
            </w:pPr>
            <w:r w:rsidRPr="008D32E4">
              <w:rPr>
                <w:rFonts w:eastAsia="Times New Roman" w:cstheme="minorHAnsi"/>
                <w:color w:val="000000"/>
                <w:lang w:eastAsia="sk-SK"/>
              </w:rPr>
              <w:t>M15.</w:t>
            </w:r>
            <w:r w:rsidR="000B62F2">
              <w:rPr>
                <w:rFonts w:eastAsia="Times New Roman" w:cstheme="minorHAnsi"/>
                <w:color w:val="000000"/>
                <w:lang w:eastAsia="sk-SK"/>
              </w:rPr>
              <w:t>504</w:t>
            </w:r>
            <w:r w:rsidRPr="008D32E4">
              <w:rPr>
                <w:rFonts w:eastAsia="Times New Roman" w:cstheme="minorHAnsi"/>
                <w:color w:val="000000"/>
                <w:lang w:eastAsia="sk-SK"/>
              </w:rPr>
              <w:t>.0.00001.  </w:t>
            </w:r>
          </w:p>
        </w:tc>
        <w:tc>
          <w:tcPr>
            <w:tcW w:w="7470" w:type="dxa"/>
            <w:tcBorders>
              <w:top w:val="nil"/>
              <w:left w:val="nil"/>
              <w:bottom w:val="single" w:sz="6" w:space="0" w:color="auto"/>
              <w:right w:val="single" w:sz="6" w:space="0" w:color="auto"/>
            </w:tcBorders>
            <w:shd w:val="clear" w:color="auto" w:fill="auto"/>
            <w:vAlign w:val="bottom"/>
            <w:hideMark/>
          </w:tcPr>
          <w:p w14:paraId="5E63FA54" w14:textId="31AB7B84" w:rsidR="00FD409E" w:rsidRPr="008D32E4" w:rsidRDefault="00FD409E" w:rsidP="00FD409E">
            <w:pPr>
              <w:keepNext/>
              <w:spacing w:after="0"/>
              <w:jc w:val="both"/>
              <w:textAlignment w:val="baseline"/>
              <w:rPr>
                <w:rFonts w:eastAsia="Times New Roman" w:cstheme="minorHAnsi"/>
                <w:lang w:eastAsia="sk-SK"/>
              </w:rPr>
            </w:pPr>
            <w:r w:rsidRPr="008D32E4">
              <w:rPr>
                <w:rFonts w:eastAsia="Times New Roman" w:cstheme="minorHAnsi"/>
                <w:color w:val="000000"/>
              </w:rPr>
              <w:t>Príprava podkladov pre účtovanie na základe kontrol nenávratných finančných výpomoc</w:t>
            </w:r>
            <w:r w:rsidR="00971086">
              <w:rPr>
                <w:rFonts w:eastAsia="Times New Roman" w:cstheme="minorHAnsi"/>
                <w:color w:val="000000"/>
              </w:rPr>
              <w:t>í</w:t>
            </w:r>
            <w:r w:rsidRPr="008D32E4">
              <w:rPr>
                <w:rFonts w:eastAsia="Times New Roman" w:cstheme="minorHAnsi"/>
                <w:color w:val="000000"/>
              </w:rPr>
              <w:t>. Výstupom tejto aktivity sú podklady pre evidenciu pohľadávok alebo záväzkov s prihliadnutím na spôsob úhrady a zmluvné podmienky poskytovania nenávratných finančných výpomoc</w:t>
            </w:r>
            <w:r w:rsidR="00971086">
              <w:rPr>
                <w:rFonts w:eastAsia="Times New Roman" w:cstheme="minorHAnsi"/>
                <w:color w:val="000000"/>
              </w:rPr>
              <w:t>í</w:t>
            </w:r>
            <w:r w:rsidRPr="008D32E4">
              <w:rPr>
                <w:rFonts w:eastAsia="Times New Roman" w:cstheme="minorHAnsi"/>
                <w:color w:val="000000"/>
              </w:rPr>
              <w:t>.</w:t>
            </w:r>
          </w:p>
        </w:tc>
      </w:tr>
    </w:tbl>
    <w:p w14:paraId="7EAF135F" w14:textId="62DF01CD" w:rsidR="00AC428D" w:rsidRPr="008D32E4" w:rsidRDefault="00FB2802" w:rsidP="00581C2E">
      <w:pPr>
        <w:pStyle w:val="Popis"/>
        <w:rPr>
          <w:rFonts w:cstheme="minorHAnsi"/>
        </w:rPr>
      </w:pPr>
      <w:r w:rsidRPr="008D32E4">
        <w:rPr>
          <w:rFonts w:cstheme="minorHAnsi"/>
        </w:rPr>
        <w:t xml:space="preserve">Tabuľka </w:t>
      </w:r>
      <w:r w:rsidRPr="008D32E4">
        <w:rPr>
          <w:rFonts w:cstheme="minorHAnsi"/>
        </w:rPr>
        <w:fldChar w:fldCharType="begin"/>
      </w:r>
      <w:r w:rsidRPr="008D32E4">
        <w:rPr>
          <w:rFonts w:cstheme="minorHAnsi"/>
        </w:rPr>
        <w:instrText xml:space="preserve"> SEQ Tabuľka \* ARABIC </w:instrText>
      </w:r>
      <w:r w:rsidRPr="008D32E4">
        <w:rPr>
          <w:rFonts w:cstheme="minorHAnsi"/>
        </w:rPr>
        <w:fldChar w:fldCharType="separate"/>
      </w:r>
      <w:r w:rsidRPr="008D32E4">
        <w:rPr>
          <w:rFonts w:cstheme="minorHAnsi"/>
        </w:rPr>
        <w:t>2</w:t>
      </w:r>
      <w:r w:rsidRPr="008D32E4">
        <w:rPr>
          <w:rFonts w:cstheme="minorHAnsi"/>
        </w:rPr>
        <w:fldChar w:fldCharType="end"/>
      </w:r>
      <w:r w:rsidRPr="008D32E4">
        <w:rPr>
          <w:rFonts w:cstheme="minorHAnsi"/>
        </w:rPr>
        <w:t xml:space="preserve"> Popis aktivít</w:t>
      </w:r>
    </w:p>
    <w:p w14:paraId="72727FFD" w14:textId="419CC5E5" w:rsidR="008355BB" w:rsidRDefault="008355BB" w:rsidP="00671889">
      <w:pPr>
        <w:pStyle w:val="Nadpis1"/>
      </w:pPr>
      <w:r w:rsidRPr="008D32E4">
        <w:t>Business workflow</w:t>
      </w: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590"/>
        <w:gridCol w:w="5217"/>
      </w:tblGrid>
      <w:tr w:rsidR="009D7CBC" w:rsidRPr="005361A7" w14:paraId="6B9E65C8" w14:textId="77777777" w:rsidTr="009B15D8">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7FA1758"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Rola:</w:t>
            </w:r>
            <w:r w:rsidRPr="005361A7">
              <w:rPr>
                <w:rFonts w:ascii="Calibri" w:eastAsia="Times New Roman" w:hAnsi="Calibri" w:cs="Calibri"/>
                <w:color w:val="000000"/>
                <w:lang w:eastAsia="sk-SK"/>
              </w:rPr>
              <w:t> </w:t>
            </w:r>
          </w:p>
        </w:tc>
        <w:tc>
          <w:tcPr>
            <w:tcW w:w="2590" w:type="dxa"/>
            <w:tcBorders>
              <w:top w:val="single" w:sz="6" w:space="0" w:color="auto"/>
              <w:left w:val="nil"/>
              <w:bottom w:val="single" w:sz="6" w:space="0" w:color="auto"/>
              <w:right w:val="single" w:sz="6" w:space="0" w:color="auto"/>
            </w:tcBorders>
            <w:shd w:val="clear" w:color="auto" w:fill="auto"/>
            <w:hideMark/>
          </w:tcPr>
          <w:p w14:paraId="605E7032" w14:textId="77777777" w:rsidR="009D7CBC" w:rsidRPr="005361A7" w:rsidRDefault="009D7CBC" w:rsidP="009B15D8">
            <w:pPr>
              <w:spacing w:after="0"/>
              <w:textAlignment w:val="baseline"/>
              <w:rPr>
                <w:rFonts w:ascii="Segoe UI" w:eastAsia="Times New Roman" w:hAnsi="Segoe UI" w:cs="Segoe UI"/>
                <w:sz w:val="18"/>
                <w:szCs w:val="18"/>
                <w:lang w:eastAsia="sk-SK"/>
              </w:rPr>
            </w:pPr>
          </w:p>
        </w:tc>
        <w:tc>
          <w:tcPr>
            <w:tcW w:w="5217" w:type="dxa"/>
            <w:tcBorders>
              <w:top w:val="single" w:sz="6" w:space="0" w:color="auto"/>
              <w:left w:val="nil"/>
              <w:bottom w:val="single" w:sz="6" w:space="0" w:color="auto"/>
              <w:right w:val="single" w:sz="6" w:space="0" w:color="auto"/>
            </w:tcBorders>
            <w:shd w:val="clear" w:color="auto" w:fill="auto"/>
            <w:hideMark/>
          </w:tcPr>
          <w:p w14:paraId="22031737"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Referent rozpočtu </w:t>
            </w:r>
          </w:p>
        </w:tc>
      </w:tr>
      <w:tr w:rsidR="009D7CBC" w:rsidRPr="005361A7" w14:paraId="2ED027F0" w14:textId="77777777" w:rsidTr="009B15D8">
        <w:trPr>
          <w:trHeight w:val="45"/>
        </w:trPr>
        <w:tc>
          <w:tcPr>
            <w:tcW w:w="1432" w:type="dxa"/>
            <w:tcBorders>
              <w:top w:val="nil"/>
              <w:left w:val="single" w:sz="6" w:space="0" w:color="auto"/>
              <w:bottom w:val="single" w:sz="6" w:space="0" w:color="auto"/>
              <w:right w:val="single" w:sz="6" w:space="0" w:color="auto"/>
            </w:tcBorders>
            <w:shd w:val="clear" w:color="auto" w:fill="auto"/>
            <w:hideMark/>
          </w:tcPr>
          <w:p w14:paraId="36B38A77"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Aktivita: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vAlign w:val="bottom"/>
            <w:hideMark/>
          </w:tcPr>
          <w:p w14:paraId="20D3C4C9"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M15.507.Z.00001.</w:t>
            </w:r>
          </w:p>
        </w:tc>
        <w:tc>
          <w:tcPr>
            <w:tcW w:w="5217" w:type="dxa"/>
            <w:tcBorders>
              <w:top w:val="nil"/>
              <w:left w:val="nil"/>
              <w:bottom w:val="single" w:sz="6" w:space="0" w:color="auto"/>
              <w:right w:val="single" w:sz="6" w:space="0" w:color="auto"/>
            </w:tcBorders>
            <w:shd w:val="clear" w:color="auto" w:fill="auto"/>
            <w:vAlign w:val="bottom"/>
            <w:hideMark/>
          </w:tcPr>
          <w:p w14:paraId="7731066B"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Zobrazenie zoznamu nepriradených rozpočtových opatrení</w:t>
            </w:r>
          </w:p>
        </w:tc>
      </w:tr>
      <w:tr w:rsidR="009D7CBC" w:rsidRPr="005361A7" w14:paraId="1ABC60E1" w14:textId="77777777" w:rsidTr="009B15D8">
        <w:tc>
          <w:tcPr>
            <w:tcW w:w="1432" w:type="dxa"/>
            <w:tcBorders>
              <w:top w:val="nil"/>
              <w:left w:val="single" w:sz="6" w:space="0" w:color="auto"/>
              <w:bottom w:val="single" w:sz="6" w:space="0" w:color="auto"/>
              <w:right w:val="single" w:sz="6" w:space="0" w:color="auto"/>
            </w:tcBorders>
            <w:shd w:val="clear" w:color="auto" w:fill="auto"/>
            <w:hideMark/>
          </w:tcPr>
          <w:p w14:paraId="0298FFC7"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Transakcia: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hideMark/>
          </w:tcPr>
          <w:p w14:paraId="429923C0" w14:textId="52196E53" w:rsidR="009D7CBC" w:rsidRPr="005361A7" w:rsidRDefault="00E506E7" w:rsidP="009B15D8">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(Zákaznícky ABAP vývoj)</w:t>
            </w:r>
          </w:p>
        </w:tc>
        <w:tc>
          <w:tcPr>
            <w:tcW w:w="5217" w:type="dxa"/>
            <w:tcBorders>
              <w:top w:val="nil"/>
              <w:left w:val="nil"/>
              <w:bottom w:val="single" w:sz="6" w:space="0" w:color="auto"/>
              <w:right w:val="single" w:sz="6" w:space="0" w:color="auto"/>
            </w:tcBorders>
            <w:shd w:val="clear" w:color="auto" w:fill="auto"/>
            <w:hideMark/>
          </w:tcPr>
          <w:p w14:paraId="07FD47E9"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Prepojenie ELÚRu na doklad zmluvy</w:t>
            </w:r>
          </w:p>
        </w:tc>
      </w:tr>
    </w:tbl>
    <w:p w14:paraId="47DD6A29" w14:textId="77777777" w:rsidR="009D7CBC" w:rsidRPr="005361A7" w:rsidRDefault="009D7CBC" w:rsidP="009D7CBC"/>
    <w:p w14:paraId="143E793E" w14:textId="77777777" w:rsidR="009D7CBC" w:rsidRPr="005361A7" w:rsidRDefault="009D7CBC" w:rsidP="009D7CBC">
      <w:pPr>
        <w:keepNext/>
      </w:pPr>
      <w:r w:rsidRPr="005361A7">
        <w:rPr>
          <w:noProof/>
        </w:rPr>
        <w:drawing>
          <wp:inline distT="0" distB="0" distL="0" distR="0" wp14:anchorId="2FCC6FE2" wp14:editId="50ED0C4A">
            <wp:extent cx="5943600" cy="12420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42060"/>
                    </a:xfrm>
                    <a:prstGeom prst="rect">
                      <a:avLst/>
                    </a:prstGeom>
                  </pic:spPr>
                </pic:pic>
              </a:graphicData>
            </a:graphic>
          </wp:inline>
        </w:drawing>
      </w:r>
    </w:p>
    <w:p w14:paraId="3BBE0AE7" w14:textId="77777777" w:rsidR="009D7CBC" w:rsidRPr="005361A7" w:rsidRDefault="009D7CBC" w:rsidP="009D7CBC">
      <w:pPr>
        <w:pStyle w:val="Popis"/>
      </w:pPr>
      <w:r w:rsidRPr="005361A7">
        <w:t xml:space="preserve">Obrázok </w:t>
      </w:r>
      <w:r w:rsidRPr="005361A7">
        <w:fldChar w:fldCharType="begin"/>
      </w:r>
      <w:r w:rsidRPr="005361A7">
        <w:instrText xml:space="preserve"> SEQ Obrázok \* ARABIC </w:instrText>
      </w:r>
      <w:r w:rsidRPr="005361A7">
        <w:fldChar w:fldCharType="separate"/>
      </w:r>
      <w:r w:rsidRPr="005361A7">
        <w:rPr>
          <w:noProof/>
        </w:rPr>
        <w:t>2</w:t>
      </w:r>
      <w:r w:rsidRPr="005361A7">
        <w:fldChar w:fldCharType="end"/>
      </w:r>
      <w:r w:rsidRPr="005361A7">
        <w:t xml:space="preserve"> Spracované rozpočtové opatrenia (ELÚR)</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969"/>
        <w:gridCol w:w="1247"/>
        <w:gridCol w:w="2516"/>
        <w:gridCol w:w="1090"/>
        <w:gridCol w:w="1420"/>
      </w:tblGrid>
      <w:tr w:rsidR="009D7CBC" w:rsidRPr="005361A7" w14:paraId="670D76BF"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4B50F6C"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Zoznam polí</w:t>
            </w:r>
            <w:r w:rsidRPr="005361A7">
              <w:rPr>
                <w:rFonts w:ascii="Calibri" w:eastAsia="Times New Roman" w:hAnsi="Calibri" w:cs="Calibri"/>
                <w:color w:val="000000"/>
                <w:lang w:eastAsia="sk-SK"/>
              </w:rPr>
              <w:t> </w:t>
            </w:r>
          </w:p>
        </w:tc>
        <w:tc>
          <w:tcPr>
            <w:tcW w:w="96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11D4AFF"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VSTUP[x]</w:t>
            </w:r>
            <w:r w:rsidRPr="005361A7">
              <w:rPr>
                <w:rFonts w:ascii="Calibri" w:eastAsia="Times New Roman" w:hAnsi="Calibri" w:cs="Calibri"/>
                <w:color w:val="000000"/>
                <w:sz w:val="20"/>
                <w:szCs w:val="20"/>
                <w:lang w:eastAsia="sk-SK"/>
              </w:rPr>
              <w:t> </w:t>
            </w:r>
          </w:p>
        </w:tc>
        <w:tc>
          <w:tcPr>
            <w:tcW w:w="124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D2EB4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VÝSTUP[x]</w:t>
            </w:r>
            <w:r w:rsidRPr="005361A7">
              <w:rPr>
                <w:rFonts w:ascii="Calibri" w:eastAsia="Times New Roman" w:hAnsi="Calibri" w:cs="Calibri"/>
                <w:color w:val="000000"/>
                <w:sz w:val="20"/>
                <w:szCs w:val="20"/>
                <w:lang w:eastAsia="sk-SK"/>
              </w:rPr>
              <w:t> </w:t>
            </w:r>
          </w:p>
        </w:tc>
        <w:tc>
          <w:tcPr>
            <w:tcW w:w="251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99106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ČISELNÍK[názov/</w:t>
            </w:r>
            <w:proofErr w:type="spellStart"/>
            <w:r w:rsidRPr="005361A7">
              <w:rPr>
                <w:rFonts w:ascii="Calibri" w:eastAsia="Times New Roman" w:hAnsi="Calibri" w:cs="Calibri"/>
                <w:b/>
                <w:bCs/>
                <w:color w:val="000000"/>
                <w:sz w:val="20"/>
                <w:szCs w:val="20"/>
                <w:lang w:eastAsia="sk-SK"/>
              </w:rPr>
              <w:t>tab</w:t>
            </w:r>
            <w:proofErr w:type="spellEnd"/>
            <w:r w:rsidRPr="005361A7">
              <w:rPr>
                <w:rFonts w:ascii="Calibri" w:eastAsia="Times New Roman" w:hAnsi="Calibri" w:cs="Calibri"/>
                <w:b/>
                <w:bCs/>
                <w:color w:val="000000"/>
                <w:sz w:val="20"/>
                <w:szCs w:val="20"/>
                <w:lang w:eastAsia="sk-SK"/>
              </w:rPr>
              <w:t>]</w:t>
            </w:r>
            <w:r w:rsidRPr="005361A7">
              <w:rPr>
                <w:rFonts w:ascii="Calibri" w:eastAsia="Times New Roman" w:hAnsi="Calibri" w:cs="Calibri"/>
                <w:color w:val="000000"/>
                <w:sz w:val="20"/>
                <w:szCs w:val="20"/>
                <w:lang w:eastAsia="sk-SK"/>
              </w:rPr>
              <w:t> </w:t>
            </w:r>
          </w:p>
        </w:tc>
        <w:tc>
          <w:tcPr>
            <w:tcW w:w="10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74B2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M.CODE[x]</w:t>
            </w:r>
            <w:r w:rsidRPr="005361A7">
              <w:rPr>
                <w:rFonts w:ascii="Calibri" w:eastAsia="Times New Roman" w:hAnsi="Calibri" w:cs="Calibri"/>
                <w:color w:val="000000"/>
                <w:sz w:val="20"/>
                <w:szCs w:val="20"/>
                <w:lang w:eastAsia="sk-SK"/>
              </w:rPr>
              <w:t> </w:t>
            </w:r>
          </w:p>
        </w:tc>
        <w:tc>
          <w:tcPr>
            <w:tcW w:w="14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AB3497"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POVINNÝ[X|D]</w:t>
            </w:r>
            <w:r w:rsidRPr="005361A7">
              <w:rPr>
                <w:rFonts w:ascii="Calibri" w:eastAsia="Times New Roman" w:hAnsi="Calibri" w:cs="Calibri"/>
                <w:color w:val="000000"/>
                <w:sz w:val="20"/>
                <w:szCs w:val="20"/>
                <w:lang w:eastAsia="sk-SK"/>
              </w:rPr>
              <w:t> </w:t>
            </w:r>
          </w:p>
        </w:tc>
      </w:tr>
      <w:tr w:rsidR="009D7CBC" w:rsidRPr="005361A7" w14:paraId="67E9B479"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915AD3" w14:textId="77777777" w:rsidR="009D7CBC" w:rsidRPr="005361A7" w:rsidRDefault="009D7CBC" w:rsidP="009B15D8">
            <w:pPr>
              <w:spacing w:after="0"/>
              <w:textAlignment w:val="baseline"/>
              <w:rPr>
                <w:rFonts w:ascii="Segoe UI" w:eastAsia="Times New Roman" w:hAnsi="Segoe UI" w:cs="Segoe UI"/>
                <w:sz w:val="18"/>
                <w:szCs w:val="18"/>
                <w:lang w:eastAsia="sk-SK"/>
              </w:rPr>
            </w:pPr>
            <w:proofErr w:type="spellStart"/>
            <w:r w:rsidRPr="005361A7">
              <w:rPr>
                <w:rFonts w:ascii="Calibri" w:eastAsia="Times New Roman" w:hAnsi="Calibri" w:cs="Calibri"/>
                <w:color w:val="000000"/>
                <w:lang w:eastAsia="sk-SK"/>
              </w:rPr>
              <w:t>Finanč</w:t>
            </w:r>
            <w:proofErr w:type="spellEnd"/>
            <w:r w:rsidRPr="005361A7">
              <w:rPr>
                <w:rFonts w:ascii="Calibri" w:eastAsia="Times New Roman" w:hAnsi="Calibri" w:cs="Calibri"/>
                <w:color w:val="000000"/>
                <w:lang w:eastAsia="sk-SK"/>
              </w:rPr>
              <w:t>. okruh </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56178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1B62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464977"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lang w:eastAsia="sk-SK"/>
              </w:rPr>
              <w:t>M15_KZC_FM01_Finančný okruh </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D7D3CC2"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0D935"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r>
      <w:tr w:rsidR="009D7CBC" w:rsidRPr="005361A7" w14:paraId="1B8A82E5"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BD674B"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Fin. stredisko </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3059D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F3BD1C"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 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AACEEF"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lang w:eastAsia="sk-SK"/>
              </w:rPr>
              <w:t>M15_KZC_FM02_Finančné stredisko </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D19903"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80165"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r>
      <w:tr w:rsidR="009D7CBC" w:rsidRPr="005361A7" w14:paraId="2ECC1B6C"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2BCC40C4"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Číslo rozpočtového opatrenia</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55DD742C"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2BBE9513"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4969D29E"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7BC1D3A2"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55E0DEB1"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r>
      <w:tr w:rsidR="009D7CBC" w:rsidRPr="005361A7" w14:paraId="41FB6043"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6744C005"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Názov súboru</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53876C1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0D4A73E4"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7C4CBAE1"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26AA4DC4"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6E760DC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r>
      <w:tr w:rsidR="009D7CBC" w:rsidRPr="005361A7" w14:paraId="441B76AC"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63A8C394"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Názov rozpočtového opatrenia</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5C63EB6A"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004B3BDF"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61447EE0"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1BC43F4E"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52BD52B9"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r>
      <w:tr w:rsidR="009D7CBC" w:rsidRPr="005361A7" w14:paraId="24C3AEBD"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6CA47ACD"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Poradové číslo</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7D07EDE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343E9242"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5F7DB1A3"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741494E0"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54A04D5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r>
      <w:tr w:rsidR="009D7CBC" w:rsidRPr="005361A7" w14:paraId="633293E9"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1361FB"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Dátum spracovania </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A27B14"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587E24"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 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EC0DB0"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M00_KZC_002  Kalendár    </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D5CDE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494D9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r>
      <w:tr w:rsidR="009D7CBC" w:rsidRPr="005361A7" w14:paraId="72FB183C"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26614DBA"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Doklady rozpočtu</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7DEFAA9D"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6E714544"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0A7B21D7"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30CDEA61"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66A56AB2" w14:textId="77777777" w:rsidR="009D7CBC" w:rsidRPr="005361A7" w:rsidRDefault="009D7CBC" w:rsidP="009B15D8">
            <w:pPr>
              <w:keepNext/>
              <w:spacing w:after="0"/>
              <w:jc w:val="center"/>
              <w:textAlignment w:val="baseline"/>
              <w:rPr>
                <w:rFonts w:ascii="Calibri" w:eastAsia="Times New Roman" w:hAnsi="Calibri" w:cs="Calibri"/>
                <w:color w:val="000000"/>
                <w:lang w:eastAsia="sk-SK"/>
              </w:rPr>
            </w:pPr>
          </w:p>
        </w:tc>
      </w:tr>
    </w:tbl>
    <w:p w14:paraId="25DDB361" w14:textId="77777777" w:rsidR="009D7CBC" w:rsidRPr="005361A7" w:rsidRDefault="009D7CBC" w:rsidP="009D7CBC">
      <w:pPr>
        <w:pStyle w:val="Popis"/>
      </w:pPr>
      <w:r w:rsidRPr="005361A7">
        <w:t xml:space="preserve">Tabuľka </w:t>
      </w:r>
      <w:r w:rsidRPr="005361A7">
        <w:fldChar w:fldCharType="begin"/>
      </w:r>
      <w:r w:rsidRPr="005361A7">
        <w:instrText xml:space="preserve"> SEQ Tabuľka \* ARABIC </w:instrText>
      </w:r>
      <w:r w:rsidRPr="005361A7">
        <w:fldChar w:fldCharType="separate"/>
      </w:r>
      <w:r w:rsidRPr="005361A7">
        <w:rPr>
          <w:noProof/>
        </w:rPr>
        <w:t>3</w:t>
      </w:r>
      <w:r w:rsidRPr="005361A7">
        <w:fldChar w:fldCharType="end"/>
      </w:r>
      <w:r w:rsidRPr="005361A7">
        <w:t xml:space="preserve"> Spracované rozpočtové opatrenia</w:t>
      </w:r>
    </w:p>
    <w:p w14:paraId="45375433" w14:textId="77777777" w:rsidR="009D7CBC" w:rsidRPr="005361A7" w:rsidRDefault="009D7CBC" w:rsidP="009D7CBC"/>
    <w:p w14:paraId="76A5F8B3" w14:textId="77777777" w:rsidR="009D7CBC" w:rsidRPr="005361A7" w:rsidRDefault="009D7CBC" w:rsidP="009D7CBC"/>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590"/>
        <w:gridCol w:w="5217"/>
      </w:tblGrid>
      <w:tr w:rsidR="009D7CBC" w:rsidRPr="005361A7" w14:paraId="2AC9F2BB" w14:textId="77777777" w:rsidTr="009B15D8">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5842D281"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Rola:</w:t>
            </w:r>
            <w:r w:rsidRPr="005361A7">
              <w:rPr>
                <w:rFonts w:ascii="Calibri" w:eastAsia="Times New Roman" w:hAnsi="Calibri" w:cs="Calibri"/>
                <w:color w:val="000000"/>
                <w:lang w:eastAsia="sk-SK"/>
              </w:rPr>
              <w:t> </w:t>
            </w:r>
          </w:p>
        </w:tc>
        <w:tc>
          <w:tcPr>
            <w:tcW w:w="2590" w:type="dxa"/>
            <w:tcBorders>
              <w:top w:val="single" w:sz="6" w:space="0" w:color="auto"/>
              <w:left w:val="nil"/>
              <w:bottom w:val="single" w:sz="6" w:space="0" w:color="auto"/>
              <w:right w:val="single" w:sz="6" w:space="0" w:color="auto"/>
            </w:tcBorders>
            <w:shd w:val="clear" w:color="auto" w:fill="auto"/>
            <w:hideMark/>
          </w:tcPr>
          <w:p w14:paraId="169272DC" w14:textId="77777777" w:rsidR="009D7CBC" w:rsidRPr="005361A7" w:rsidRDefault="009D7CBC" w:rsidP="009B15D8">
            <w:pPr>
              <w:spacing w:after="0"/>
              <w:textAlignment w:val="baseline"/>
              <w:rPr>
                <w:rFonts w:ascii="Segoe UI" w:eastAsia="Times New Roman" w:hAnsi="Segoe UI" w:cs="Segoe UI"/>
                <w:sz w:val="18"/>
                <w:szCs w:val="18"/>
                <w:lang w:eastAsia="sk-SK"/>
              </w:rPr>
            </w:pPr>
          </w:p>
        </w:tc>
        <w:tc>
          <w:tcPr>
            <w:tcW w:w="5217" w:type="dxa"/>
            <w:tcBorders>
              <w:top w:val="single" w:sz="6" w:space="0" w:color="auto"/>
              <w:left w:val="nil"/>
              <w:bottom w:val="single" w:sz="6" w:space="0" w:color="auto"/>
              <w:right w:val="single" w:sz="6" w:space="0" w:color="auto"/>
            </w:tcBorders>
            <w:shd w:val="clear" w:color="auto" w:fill="auto"/>
            <w:hideMark/>
          </w:tcPr>
          <w:p w14:paraId="0B4D2D27"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Referent rozpočtu </w:t>
            </w:r>
          </w:p>
        </w:tc>
      </w:tr>
      <w:tr w:rsidR="009D7CBC" w:rsidRPr="005361A7" w14:paraId="076485C8" w14:textId="77777777" w:rsidTr="009B15D8">
        <w:trPr>
          <w:trHeight w:val="45"/>
        </w:trPr>
        <w:tc>
          <w:tcPr>
            <w:tcW w:w="1432" w:type="dxa"/>
            <w:tcBorders>
              <w:top w:val="nil"/>
              <w:left w:val="single" w:sz="6" w:space="0" w:color="auto"/>
              <w:bottom w:val="single" w:sz="6" w:space="0" w:color="auto"/>
              <w:right w:val="single" w:sz="6" w:space="0" w:color="auto"/>
            </w:tcBorders>
            <w:shd w:val="clear" w:color="auto" w:fill="auto"/>
            <w:hideMark/>
          </w:tcPr>
          <w:p w14:paraId="2071C74D"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Aktivita: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vAlign w:val="bottom"/>
            <w:hideMark/>
          </w:tcPr>
          <w:p w14:paraId="47F7A6DE"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M15.507.Z.00002.</w:t>
            </w:r>
          </w:p>
        </w:tc>
        <w:tc>
          <w:tcPr>
            <w:tcW w:w="5217" w:type="dxa"/>
            <w:tcBorders>
              <w:top w:val="nil"/>
              <w:left w:val="nil"/>
              <w:bottom w:val="single" w:sz="6" w:space="0" w:color="auto"/>
              <w:right w:val="single" w:sz="6" w:space="0" w:color="auto"/>
            </w:tcBorders>
            <w:shd w:val="clear" w:color="auto" w:fill="auto"/>
            <w:vAlign w:val="bottom"/>
            <w:hideMark/>
          </w:tcPr>
          <w:p w14:paraId="02C980F2"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Vyhľadanie zmluvy v CEZ</w:t>
            </w:r>
          </w:p>
        </w:tc>
      </w:tr>
      <w:tr w:rsidR="00E506E7" w:rsidRPr="005361A7" w14:paraId="3D2BA56F" w14:textId="77777777" w:rsidTr="009B15D8">
        <w:tc>
          <w:tcPr>
            <w:tcW w:w="1432" w:type="dxa"/>
            <w:tcBorders>
              <w:top w:val="nil"/>
              <w:left w:val="single" w:sz="6" w:space="0" w:color="auto"/>
              <w:bottom w:val="single" w:sz="6" w:space="0" w:color="auto"/>
              <w:right w:val="single" w:sz="6" w:space="0" w:color="auto"/>
            </w:tcBorders>
            <w:shd w:val="clear" w:color="auto" w:fill="auto"/>
            <w:hideMark/>
          </w:tcPr>
          <w:p w14:paraId="366CF02C"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Transakcia: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hideMark/>
          </w:tcPr>
          <w:p w14:paraId="0C46A065" w14:textId="7F4B5492" w:rsidR="00E506E7" w:rsidRPr="005361A7" w:rsidRDefault="00E506E7" w:rsidP="00E506E7">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(Zákaznícky ABAP vývoj)</w:t>
            </w:r>
          </w:p>
        </w:tc>
        <w:tc>
          <w:tcPr>
            <w:tcW w:w="5217" w:type="dxa"/>
            <w:tcBorders>
              <w:top w:val="nil"/>
              <w:left w:val="nil"/>
              <w:bottom w:val="single" w:sz="6" w:space="0" w:color="auto"/>
              <w:right w:val="single" w:sz="6" w:space="0" w:color="auto"/>
            </w:tcBorders>
            <w:shd w:val="clear" w:color="auto" w:fill="auto"/>
            <w:hideMark/>
          </w:tcPr>
          <w:p w14:paraId="0C83F3C6"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Prepojenie ELÚRu na doklad zmluvy</w:t>
            </w:r>
          </w:p>
        </w:tc>
      </w:tr>
    </w:tbl>
    <w:p w14:paraId="4E765722" w14:textId="77777777" w:rsidR="009D7CBC" w:rsidRPr="005361A7" w:rsidRDefault="009D7CBC" w:rsidP="009D7CBC"/>
    <w:p w14:paraId="2CF99BF4" w14:textId="77777777" w:rsidR="009D7CBC" w:rsidRPr="005361A7" w:rsidRDefault="009D7CBC" w:rsidP="009D7CBC">
      <w:pPr>
        <w:rPr>
          <w:noProof/>
        </w:rPr>
      </w:pPr>
    </w:p>
    <w:p w14:paraId="7EE0A8FE" w14:textId="77777777" w:rsidR="009D7CBC" w:rsidRPr="005361A7" w:rsidRDefault="009D7CBC" w:rsidP="009D7CBC">
      <w:pPr>
        <w:rPr>
          <w:noProof/>
        </w:rPr>
      </w:pPr>
      <w:r w:rsidRPr="005361A7">
        <w:rPr>
          <w:noProof/>
        </w:rPr>
        <w:drawing>
          <wp:inline distT="0" distB="0" distL="0" distR="0" wp14:anchorId="30FD4EE5" wp14:editId="00C88322">
            <wp:extent cx="5295900" cy="3619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900" cy="361950"/>
                    </a:xfrm>
                    <a:prstGeom prst="rect">
                      <a:avLst/>
                    </a:prstGeom>
                  </pic:spPr>
                </pic:pic>
              </a:graphicData>
            </a:graphic>
          </wp:inline>
        </w:drawing>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969"/>
        <w:gridCol w:w="1247"/>
        <w:gridCol w:w="2516"/>
        <w:gridCol w:w="1090"/>
        <w:gridCol w:w="1420"/>
      </w:tblGrid>
      <w:tr w:rsidR="009D7CBC" w:rsidRPr="005361A7" w14:paraId="1B70444E"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0BC011D0"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Zoznam polí</w:t>
            </w:r>
            <w:r w:rsidRPr="005361A7">
              <w:rPr>
                <w:rFonts w:ascii="Calibri" w:eastAsia="Times New Roman" w:hAnsi="Calibri" w:cs="Calibri"/>
                <w:color w:val="000000"/>
                <w:lang w:eastAsia="sk-SK"/>
              </w:rPr>
              <w:t> </w:t>
            </w:r>
          </w:p>
        </w:tc>
        <w:tc>
          <w:tcPr>
            <w:tcW w:w="96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277FDA6"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VSTUP[x]</w:t>
            </w:r>
            <w:r w:rsidRPr="005361A7">
              <w:rPr>
                <w:rFonts w:ascii="Calibri" w:eastAsia="Times New Roman" w:hAnsi="Calibri" w:cs="Calibri"/>
                <w:color w:val="000000"/>
                <w:sz w:val="20"/>
                <w:szCs w:val="20"/>
                <w:lang w:eastAsia="sk-SK"/>
              </w:rPr>
              <w:t> </w:t>
            </w:r>
          </w:p>
        </w:tc>
        <w:tc>
          <w:tcPr>
            <w:tcW w:w="124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04AC623"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VÝSTUP[x]</w:t>
            </w:r>
            <w:r w:rsidRPr="005361A7">
              <w:rPr>
                <w:rFonts w:ascii="Calibri" w:eastAsia="Times New Roman" w:hAnsi="Calibri" w:cs="Calibri"/>
                <w:color w:val="000000"/>
                <w:sz w:val="20"/>
                <w:szCs w:val="20"/>
                <w:lang w:eastAsia="sk-SK"/>
              </w:rPr>
              <w:t> </w:t>
            </w:r>
          </w:p>
        </w:tc>
        <w:tc>
          <w:tcPr>
            <w:tcW w:w="251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F9FF7B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ČISELNÍK[názov/</w:t>
            </w:r>
            <w:proofErr w:type="spellStart"/>
            <w:r w:rsidRPr="005361A7">
              <w:rPr>
                <w:rFonts w:ascii="Calibri" w:eastAsia="Times New Roman" w:hAnsi="Calibri" w:cs="Calibri"/>
                <w:b/>
                <w:bCs/>
                <w:color w:val="000000"/>
                <w:sz w:val="20"/>
                <w:szCs w:val="20"/>
                <w:lang w:eastAsia="sk-SK"/>
              </w:rPr>
              <w:t>tab</w:t>
            </w:r>
            <w:proofErr w:type="spellEnd"/>
            <w:r w:rsidRPr="005361A7">
              <w:rPr>
                <w:rFonts w:ascii="Calibri" w:eastAsia="Times New Roman" w:hAnsi="Calibri" w:cs="Calibri"/>
                <w:b/>
                <w:bCs/>
                <w:color w:val="000000"/>
                <w:sz w:val="20"/>
                <w:szCs w:val="20"/>
                <w:lang w:eastAsia="sk-SK"/>
              </w:rPr>
              <w:t>]</w:t>
            </w:r>
            <w:r w:rsidRPr="005361A7">
              <w:rPr>
                <w:rFonts w:ascii="Calibri" w:eastAsia="Times New Roman" w:hAnsi="Calibri" w:cs="Calibri"/>
                <w:color w:val="000000"/>
                <w:sz w:val="20"/>
                <w:szCs w:val="20"/>
                <w:lang w:eastAsia="sk-SK"/>
              </w:rPr>
              <w:t> </w:t>
            </w:r>
          </w:p>
        </w:tc>
        <w:tc>
          <w:tcPr>
            <w:tcW w:w="10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EF20DC"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M.CODE[x]</w:t>
            </w:r>
            <w:r w:rsidRPr="005361A7">
              <w:rPr>
                <w:rFonts w:ascii="Calibri" w:eastAsia="Times New Roman" w:hAnsi="Calibri" w:cs="Calibri"/>
                <w:color w:val="000000"/>
                <w:sz w:val="20"/>
                <w:szCs w:val="20"/>
                <w:lang w:eastAsia="sk-SK"/>
              </w:rPr>
              <w:t> </w:t>
            </w:r>
          </w:p>
        </w:tc>
        <w:tc>
          <w:tcPr>
            <w:tcW w:w="14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ECCA204"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POVINNÝ[X|D]</w:t>
            </w:r>
            <w:r w:rsidRPr="005361A7">
              <w:rPr>
                <w:rFonts w:ascii="Calibri" w:eastAsia="Times New Roman" w:hAnsi="Calibri" w:cs="Calibri"/>
                <w:color w:val="000000"/>
                <w:sz w:val="20"/>
                <w:szCs w:val="20"/>
                <w:lang w:eastAsia="sk-SK"/>
              </w:rPr>
              <w:t> </w:t>
            </w:r>
          </w:p>
        </w:tc>
      </w:tr>
      <w:tr w:rsidR="009D7CBC" w:rsidRPr="005361A7" w14:paraId="3B2D5A87"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F91770"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Číslo zmluvy</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04F8E2"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8CCBDBC"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97A1A5"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213AA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D4722F"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w:t>
            </w:r>
          </w:p>
        </w:tc>
      </w:tr>
    </w:tbl>
    <w:p w14:paraId="55F6C4A2" w14:textId="77777777" w:rsidR="009D7CBC" w:rsidRPr="005361A7" w:rsidRDefault="009D7CBC" w:rsidP="009D7CBC"/>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590"/>
        <w:gridCol w:w="5217"/>
      </w:tblGrid>
      <w:tr w:rsidR="009D7CBC" w:rsidRPr="005361A7" w14:paraId="4F3B3E01" w14:textId="77777777" w:rsidTr="009B15D8">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76E261A6"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Rola:</w:t>
            </w:r>
            <w:r w:rsidRPr="005361A7">
              <w:rPr>
                <w:rFonts w:ascii="Calibri" w:eastAsia="Times New Roman" w:hAnsi="Calibri" w:cs="Calibri"/>
                <w:color w:val="000000"/>
                <w:lang w:eastAsia="sk-SK"/>
              </w:rPr>
              <w:t> </w:t>
            </w:r>
          </w:p>
        </w:tc>
        <w:tc>
          <w:tcPr>
            <w:tcW w:w="2590" w:type="dxa"/>
            <w:tcBorders>
              <w:top w:val="single" w:sz="6" w:space="0" w:color="auto"/>
              <w:left w:val="nil"/>
              <w:bottom w:val="single" w:sz="6" w:space="0" w:color="auto"/>
              <w:right w:val="single" w:sz="6" w:space="0" w:color="auto"/>
            </w:tcBorders>
            <w:shd w:val="clear" w:color="auto" w:fill="auto"/>
            <w:hideMark/>
          </w:tcPr>
          <w:p w14:paraId="65C92599" w14:textId="77777777" w:rsidR="009D7CBC" w:rsidRPr="005361A7" w:rsidRDefault="009D7CBC" w:rsidP="009B15D8">
            <w:pPr>
              <w:spacing w:after="0"/>
              <w:textAlignment w:val="baseline"/>
              <w:rPr>
                <w:rFonts w:ascii="Segoe UI" w:eastAsia="Times New Roman" w:hAnsi="Segoe UI" w:cs="Segoe UI"/>
                <w:sz w:val="18"/>
                <w:szCs w:val="18"/>
                <w:lang w:eastAsia="sk-SK"/>
              </w:rPr>
            </w:pPr>
          </w:p>
        </w:tc>
        <w:tc>
          <w:tcPr>
            <w:tcW w:w="5217" w:type="dxa"/>
            <w:tcBorders>
              <w:top w:val="single" w:sz="6" w:space="0" w:color="auto"/>
              <w:left w:val="nil"/>
              <w:bottom w:val="single" w:sz="6" w:space="0" w:color="auto"/>
              <w:right w:val="single" w:sz="6" w:space="0" w:color="auto"/>
            </w:tcBorders>
            <w:shd w:val="clear" w:color="auto" w:fill="auto"/>
            <w:hideMark/>
          </w:tcPr>
          <w:p w14:paraId="70B44801"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Referent rozpočtu </w:t>
            </w:r>
          </w:p>
        </w:tc>
      </w:tr>
      <w:tr w:rsidR="009D7CBC" w:rsidRPr="005361A7" w14:paraId="2CBA7DF0" w14:textId="77777777" w:rsidTr="009B15D8">
        <w:trPr>
          <w:trHeight w:val="45"/>
        </w:trPr>
        <w:tc>
          <w:tcPr>
            <w:tcW w:w="1432" w:type="dxa"/>
            <w:tcBorders>
              <w:top w:val="nil"/>
              <w:left w:val="single" w:sz="6" w:space="0" w:color="auto"/>
              <w:bottom w:val="single" w:sz="6" w:space="0" w:color="auto"/>
              <w:right w:val="single" w:sz="6" w:space="0" w:color="auto"/>
            </w:tcBorders>
            <w:shd w:val="clear" w:color="auto" w:fill="auto"/>
            <w:hideMark/>
          </w:tcPr>
          <w:p w14:paraId="2EC69F14"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Aktivita: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vAlign w:val="bottom"/>
            <w:hideMark/>
          </w:tcPr>
          <w:p w14:paraId="14D19FA1"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M15.507.Z.00003.</w:t>
            </w:r>
          </w:p>
        </w:tc>
        <w:tc>
          <w:tcPr>
            <w:tcW w:w="5217" w:type="dxa"/>
            <w:tcBorders>
              <w:top w:val="nil"/>
              <w:left w:val="nil"/>
              <w:bottom w:val="single" w:sz="6" w:space="0" w:color="auto"/>
              <w:right w:val="single" w:sz="6" w:space="0" w:color="auto"/>
            </w:tcBorders>
            <w:shd w:val="clear" w:color="auto" w:fill="auto"/>
            <w:vAlign w:val="bottom"/>
            <w:hideMark/>
          </w:tcPr>
          <w:p w14:paraId="48E5A367"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Prepojenie dokladu zmluvy (rezervačný doklad) na doklad rozpočtového opatrenia (ELÚR)</w:t>
            </w:r>
          </w:p>
        </w:tc>
      </w:tr>
      <w:tr w:rsidR="00E506E7" w:rsidRPr="005361A7" w14:paraId="39F77E24" w14:textId="77777777" w:rsidTr="009B15D8">
        <w:tc>
          <w:tcPr>
            <w:tcW w:w="1432" w:type="dxa"/>
            <w:tcBorders>
              <w:top w:val="nil"/>
              <w:left w:val="single" w:sz="6" w:space="0" w:color="auto"/>
              <w:bottom w:val="single" w:sz="6" w:space="0" w:color="auto"/>
              <w:right w:val="single" w:sz="6" w:space="0" w:color="auto"/>
            </w:tcBorders>
            <w:shd w:val="clear" w:color="auto" w:fill="auto"/>
            <w:hideMark/>
          </w:tcPr>
          <w:p w14:paraId="097E19A9"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Transakcia: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hideMark/>
          </w:tcPr>
          <w:p w14:paraId="45AB2815" w14:textId="097ACF7E" w:rsidR="00E506E7" w:rsidRPr="005361A7" w:rsidRDefault="00E506E7" w:rsidP="00E506E7">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(Zákaznícky ABAP vývoj)</w:t>
            </w:r>
          </w:p>
        </w:tc>
        <w:tc>
          <w:tcPr>
            <w:tcW w:w="5217" w:type="dxa"/>
            <w:tcBorders>
              <w:top w:val="nil"/>
              <w:left w:val="nil"/>
              <w:bottom w:val="single" w:sz="6" w:space="0" w:color="auto"/>
              <w:right w:val="single" w:sz="6" w:space="0" w:color="auto"/>
            </w:tcBorders>
            <w:shd w:val="clear" w:color="auto" w:fill="auto"/>
            <w:hideMark/>
          </w:tcPr>
          <w:p w14:paraId="522D969A"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Prepojenie ELÚRu na doklad zmluvy</w:t>
            </w:r>
          </w:p>
        </w:tc>
      </w:tr>
    </w:tbl>
    <w:p w14:paraId="66AF1001" w14:textId="77777777" w:rsidR="009D7CBC" w:rsidRPr="005361A7" w:rsidRDefault="009D7CBC" w:rsidP="009D7CBC">
      <w:pPr>
        <w:rPr>
          <w:noProof/>
        </w:rPr>
      </w:pPr>
    </w:p>
    <w:p w14:paraId="6505E9E7" w14:textId="77777777" w:rsidR="009D7CBC" w:rsidRPr="005361A7" w:rsidRDefault="009D7CBC" w:rsidP="009D7CBC">
      <w:pPr>
        <w:rPr>
          <w:noProof/>
        </w:rPr>
      </w:pPr>
      <w:r w:rsidRPr="005361A7">
        <w:rPr>
          <w:noProof/>
        </w:rPr>
        <w:drawing>
          <wp:inline distT="0" distB="0" distL="0" distR="0" wp14:anchorId="275B5DF5" wp14:editId="77305917">
            <wp:extent cx="5295900" cy="3619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900" cy="361950"/>
                    </a:xfrm>
                    <a:prstGeom prst="rect">
                      <a:avLst/>
                    </a:prstGeom>
                  </pic:spPr>
                </pic:pic>
              </a:graphicData>
            </a:graphic>
          </wp:inline>
        </w:drawing>
      </w:r>
      <w:r w:rsidRPr="005361A7">
        <w:rPr>
          <w:noProof/>
        </w:rPr>
        <w:drawing>
          <wp:inline distT="0" distB="0" distL="0" distR="0" wp14:anchorId="14D6D1F0" wp14:editId="1040A8C0">
            <wp:extent cx="5309857" cy="1051560"/>
            <wp:effectExtent l="0" t="0" r="571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6407" cy="1054838"/>
                    </a:xfrm>
                    <a:prstGeom prst="rect">
                      <a:avLst/>
                    </a:prstGeom>
                  </pic:spPr>
                </pic:pic>
              </a:graphicData>
            </a:graphic>
          </wp:inline>
        </w:drawing>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2"/>
        <w:gridCol w:w="969"/>
        <w:gridCol w:w="1247"/>
        <w:gridCol w:w="2516"/>
        <w:gridCol w:w="1090"/>
        <w:gridCol w:w="1420"/>
      </w:tblGrid>
      <w:tr w:rsidR="009D7CBC" w:rsidRPr="005361A7" w14:paraId="6EAAFE4B"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2EEB2034"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Zoznam polí</w:t>
            </w:r>
            <w:r w:rsidRPr="005361A7">
              <w:rPr>
                <w:rFonts w:ascii="Calibri" w:eastAsia="Times New Roman" w:hAnsi="Calibri" w:cs="Calibri"/>
                <w:color w:val="000000"/>
                <w:lang w:eastAsia="sk-SK"/>
              </w:rPr>
              <w:t> </w:t>
            </w:r>
          </w:p>
        </w:tc>
        <w:tc>
          <w:tcPr>
            <w:tcW w:w="96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D3F4A34"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VSTUP[x]</w:t>
            </w:r>
            <w:r w:rsidRPr="005361A7">
              <w:rPr>
                <w:rFonts w:ascii="Calibri" w:eastAsia="Times New Roman" w:hAnsi="Calibri" w:cs="Calibri"/>
                <w:color w:val="000000"/>
                <w:sz w:val="20"/>
                <w:szCs w:val="20"/>
                <w:lang w:eastAsia="sk-SK"/>
              </w:rPr>
              <w:t> </w:t>
            </w:r>
          </w:p>
        </w:tc>
        <w:tc>
          <w:tcPr>
            <w:tcW w:w="124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0E622A"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VÝSTUP[x]</w:t>
            </w:r>
            <w:r w:rsidRPr="005361A7">
              <w:rPr>
                <w:rFonts w:ascii="Calibri" w:eastAsia="Times New Roman" w:hAnsi="Calibri" w:cs="Calibri"/>
                <w:color w:val="000000"/>
                <w:sz w:val="20"/>
                <w:szCs w:val="20"/>
                <w:lang w:eastAsia="sk-SK"/>
              </w:rPr>
              <w:t> </w:t>
            </w:r>
          </w:p>
        </w:tc>
        <w:tc>
          <w:tcPr>
            <w:tcW w:w="251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D8C4B7"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ČISELNÍK[názov/</w:t>
            </w:r>
            <w:proofErr w:type="spellStart"/>
            <w:r w:rsidRPr="005361A7">
              <w:rPr>
                <w:rFonts w:ascii="Calibri" w:eastAsia="Times New Roman" w:hAnsi="Calibri" w:cs="Calibri"/>
                <w:b/>
                <w:bCs/>
                <w:color w:val="000000"/>
                <w:sz w:val="20"/>
                <w:szCs w:val="20"/>
                <w:lang w:eastAsia="sk-SK"/>
              </w:rPr>
              <w:t>tab</w:t>
            </w:r>
            <w:proofErr w:type="spellEnd"/>
            <w:r w:rsidRPr="005361A7">
              <w:rPr>
                <w:rFonts w:ascii="Calibri" w:eastAsia="Times New Roman" w:hAnsi="Calibri" w:cs="Calibri"/>
                <w:b/>
                <w:bCs/>
                <w:color w:val="000000"/>
                <w:sz w:val="20"/>
                <w:szCs w:val="20"/>
                <w:lang w:eastAsia="sk-SK"/>
              </w:rPr>
              <w:t>]</w:t>
            </w:r>
            <w:r w:rsidRPr="005361A7">
              <w:rPr>
                <w:rFonts w:ascii="Calibri" w:eastAsia="Times New Roman" w:hAnsi="Calibri" w:cs="Calibri"/>
                <w:color w:val="000000"/>
                <w:sz w:val="20"/>
                <w:szCs w:val="20"/>
                <w:lang w:eastAsia="sk-SK"/>
              </w:rPr>
              <w:t> </w:t>
            </w:r>
          </w:p>
        </w:tc>
        <w:tc>
          <w:tcPr>
            <w:tcW w:w="10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0FF8A0E"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M.CODE[x]</w:t>
            </w:r>
            <w:r w:rsidRPr="005361A7">
              <w:rPr>
                <w:rFonts w:ascii="Calibri" w:eastAsia="Times New Roman" w:hAnsi="Calibri" w:cs="Calibri"/>
                <w:color w:val="000000"/>
                <w:sz w:val="20"/>
                <w:szCs w:val="20"/>
                <w:lang w:eastAsia="sk-SK"/>
              </w:rPr>
              <w:t> </w:t>
            </w:r>
          </w:p>
        </w:tc>
        <w:tc>
          <w:tcPr>
            <w:tcW w:w="14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660124D"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sz w:val="20"/>
                <w:szCs w:val="20"/>
                <w:lang w:eastAsia="sk-SK"/>
              </w:rPr>
              <w:t>POVINNÝ[X|D]</w:t>
            </w:r>
            <w:r w:rsidRPr="005361A7">
              <w:rPr>
                <w:rFonts w:ascii="Calibri" w:eastAsia="Times New Roman" w:hAnsi="Calibri" w:cs="Calibri"/>
                <w:color w:val="000000"/>
                <w:sz w:val="20"/>
                <w:szCs w:val="20"/>
                <w:lang w:eastAsia="sk-SK"/>
              </w:rPr>
              <w:t> </w:t>
            </w:r>
          </w:p>
        </w:tc>
      </w:tr>
      <w:tr w:rsidR="009D7CBC" w:rsidRPr="005361A7" w14:paraId="779E005C"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EA79C9" w14:textId="77777777" w:rsidR="009D7CBC" w:rsidRPr="005361A7" w:rsidRDefault="009D7CBC" w:rsidP="009B15D8">
            <w:pPr>
              <w:spacing w:after="0"/>
              <w:textAlignment w:val="baseline"/>
              <w:rPr>
                <w:rFonts w:ascii="Segoe UI" w:eastAsia="Times New Roman" w:hAnsi="Segoe UI" w:cs="Segoe UI"/>
                <w:sz w:val="18"/>
                <w:szCs w:val="18"/>
                <w:lang w:eastAsia="sk-SK"/>
              </w:rPr>
            </w:pPr>
            <w:proofErr w:type="spellStart"/>
            <w:r w:rsidRPr="005361A7">
              <w:rPr>
                <w:rFonts w:ascii="Calibri" w:eastAsia="Times New Roman" w:hAnsi="Calibri" w:cs="Calibri"/>
                <w:color w:val="000000"/>
                <w:lang w:eastAsia="sk-SK"/>
              </w:rPr>
              <w:t>Finanč</w:t>
            </w:r>
            <w:proofErr w:type="spellEnd"/>
            <w:r w:rsidRPr="005361A7">
              <w:rPr>
                <w:rFonts w:ascii="Calibri" w:eastAsia="Times New Roman" w:hAnsi="Calibri" w:cs="Calibri"/>
                <w:color w:val="000000"/>
                <w:lang w:eastAsia="sk-SK"/>
              </w:rPr>
              <w:t>. okruh </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4ED549"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590D04"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550E78"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lang w:eastAsia="sk-SK"/>
              </w:rPr>
              <w:t>M15_KZC_FM01_Finančný okruh </w:t>
            </w: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8FE65"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BE41246"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r>
      <w:tr w:rsidR="009D7CBC" w:rsidRPr="005361A7" w14:paraId="0579A9C7"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80D039"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Rok dokladu </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FC0C57D"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6541C0"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98279C"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3462BE"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BCC90D" w14:textId="77777777" w:rsidR="009D7CBC" w:rsidRPr="005361A7" w:rsidRDefault="009D7CBC" w:rsidP="009B15D8">
            <w:pPr>
              <w:spacing w:after="0"/>
              <w:jc w:val="center"/>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X </w:t>
            </w:r>
          </w:p>
        </w:tc>
      </w:tr>
      <w:tr w:rsidR="009D7CBC" w:rsidRPr="005361A7" w14:paraId="732B6952"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2772F7A8"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Číslo zmluvy</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0093C300"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3FAC77BE"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567A9C53"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38CBFB7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047AB982"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r>
      <w:tr w:rsidR="009D7CBC" w:rsidRPr="005361A7" w14:paraId="437A5187" w14:textId="77777777" w:rsidTr="009B15D8">
        <w:trPr>
          <w:trHeight w:val="285"/>
        </w:trPr>
        <w:tc>
          <w:tcPr>
            <w:tcW w:w="2102" w:type="dxa"/>
            <w:tcBorders>
              <w:top w:val="single" w:sz="6" w:space="0" w:color="auto"/>
              <w:left w:val="single" w:sz="6" w:space="0" w:color="auto"/>
              <w:bottom w:val="single" w:sz="6" w:space="0" w:color="auto"/>
              <w:right w:val="single" w:sz="6" w:space="0" w:color="auto"/>
            </w:tcBorders>
            <w:shd w:val="clear" w:color="auto" w:fill="auto"/>
            <w:vAlign w:val="bottom"/>
          </w:tcPr>
          <w:p w14:paraId="6374585C" w14:textId="77777777" w:rsidR="009D7CBC" w:rsidRPr="005361A7" w:rsidRDefault="009D7CBC" w:rsidP="009B15D8">
            <w:pPr>
              <w:spacing w:after="0"/>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Číslo dokladu rozpočtu</w:t>
            </w:r>
          </w:p>
        </w:tc>
        <w:tc>
          <w:tcPr>
            <w:tcW w:w="969" w:type="dxa"/>
            <w:tcBorders>
              <w:top w:val="single" w:sz="6" w:space="0" w:color="auto"/>
              <w:left w:val="single" w:sz="6" w:space="0" w:color="auto"/>
              <w:bottom w:val="single" w:sz="6" w:space="0" w:color="auto"/>
              <w:right w:val="single" w:sz="6" w:space="0" w:color="auto"/>
            </w:tcBorders>
            <w:shd w:val="clear" w:color="auto" w:fill="auto"/>
            <w:vAlign w:val="bottom"/>
          </w:tcPr>
          <w:p w14:paraId="016EBF15"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1247" w:type="dxa"/>
            <w:tcBorders>
              <w:top w:val="single" w:sz="6" w:space="0" w:color="auto"/>
              <w:left w:val="single" w:sz="6" w:space="0" w:color="auto"/>
              <w:bottom w:val="single" w:sz="6" w:space="0" w:color="auto"/>
              <w:right w:val="single" w:sz="6" w:space="0" w:color="auto"/>
            </w:tcBorders>
            <w:shd w:val="clear" w:color="auto" w:fill="auto"/>
            <w:vAlign w:val="bottom"/>
          </w:tcPr>
          <w:p w14:paraId="10A52D32"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c>
          <w:tcPr>
            <w:tcW w:w="2516" w:type="dxa"/>
            <w:tcBorders>
              <w:top w:val="single" w:sz="6" w:space="0" w:color="auto"/>
              <w:left w:val="single" w:sz="6" w:space="0" w:color="auto"/>
              <w:bottom w:val="single" w:sz="6" w:space="0" w:color="auto"/>
              <w:right w:val="single" w:sz="6" w:space="0" w:color="auto"/>
            </w:tcBorders>
            <w:shd w:val="clear" w:color="auto" w:fill="auto"/>
            <w:vAlign w:val="bottom"/>
          </w:tcPr>
          <w:p w14:paraId="2BC3A338" w14:textId="77777777" w:rsidR="009D7CBC" w:rsidRPr="005361A7" w:rsidRDefault="009D7CBC" w:rsidP="009B15D8">
            <w:pPr>
              <w:spacing w:after="0"/>
              <w:jc w:val="center"/>
              <w:textAlignment w:val="baseline"/>
              <w:rPr>
                <w:rFonts w:ascii="Calibri" w:eastAsia="Times New Roman" w:hAnsi="Calibri" w:cs="Calibri"/>
                <w:lang w:eastAsia="sk-SK"/>
              </w:rPr>
            </w:pPr>
          </w:p>
        </w:tc>
        <w:tc>
          <w:tcPr>
            <w:tcW w:w="1090" w:type="dxa"/>
            <w:tcBorders>
              <w:top w:val="single" w:sz="6" w:space="0" w:color="auto"/>
              <w:left w:val="single" w:sz="6" w:space="0" w:color="auto"/>
              <w:bottom w:val="single" w:sz="6" w:space="0" w:color="auto"/>
              <w:right w:val="single" w:sz="6" w:space="0" w:color="auto"/>
            </w:tcBorders>
            <w:shd w:val="clear" w:color="auto" w:fill="auto"/>
            <w:vAlign w:val="bottom"/>
          </w:tcPr>
          <w:p w14:paraId="0B596856" w14:textId="77777777" w:rsidR="009D7CBC" w:rsidRPr="005361A7" w:rsidRDefault="009D7CBC" w:rsidP="009B15D8">
            <w:pPr>
              <w:spacing w:after="0"/>
              <w:jc w:val="center"/>
              <w:textAlignment w:val="baseline"/>
              <w:rPr>
                <w:rFonts w:ascii="Calibri" w:eastAsia="Times New Roman" w:hAnsi="Calibri" w:cs="Calibri"/>
                <w:color w:val="000000"/>
                <w:lang w:eastAsia="sk-SK"/>
              </w:rPr>
            </w:pPr>
          </w:p>
        </w:tc>
        <w:tc>
          <w:tcPr>
            <w:tcW w:w="1420" w:type="dxa"/>
            <w:tcBorders>
              <w:top w:val="single" w:sz="6" w:space="0" w:color="auto"/>
              <w:left w:val="single" w:sz="6" w:space="0" w:color="auto"/>
              <w:bottom w:val="single" w:sz="6" w:space="0" w:color="auto"/>
              <w:right w:val="single" w:sz="6" w:space="0" w:color="auto"/>
            </w:tcBorders>
            <w:shd w:val="clear" w:color="auto" w:fill="auto"/>
            <w:vAlign w:val="bottom"/>
          </w:tcPr>
          <w:p w14:paraId="000463EE" w14:textId="77777777" w:rsidR="009D7CBC" w:rsidRPr="005361A7" w:rsidRDefault="009D7CBC" w:rsidP="009B15D8">
            <w:pPr>
              <w:spacing w:after="0"/>
              <w:jc w:val="center"/>
              <w:textAlignment w:val="baseline"/>
              <w:rPr>
                <w:rFonts w:ascii="Calibri" w:eastAsia="Times New Roman" w:hAnsi="Calibri" w:cs="Calibri"/>
                <w:color w:val="000000"/>
                <w:lang w:eastAsia="sk-SK"/>
              </w:rPr>
            </w:pPr>
            <w:r w:rsidRPr="005361A7">
              <w:rPr>
                <w:rFonts w:ascii="Calibri" w:eastAsia="Times New Roman" w:hAnsi="Calibri" w:cs="Calibri"/>
                <w:color w:val="000000"/>
                <w:lang w:eastAsia="sk-SK"/>
              </w:rPr>
              <w:t>x</w:t>
            </w:r>
          </w:p>
        </w:tc>
      </w:tr>
    </w:tbl>
    <w:p w14:paraId="469682BF" w14:textId="77777777" w:rsidR="009D7CBC" w:rsidRPr="005361A7" w:rsidRDefault="009D7CBC" w:rsidP="009D7CBC"/>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2"/>
        <w:gridCol w:w="2590"/>
        <w:gridCol w:w="5217"/>
      </w:tblGrid>
      <w:tr w:rsidR="009D7CBC" w:rsidRPr="005361A7" w14:paraId="196FC05D" w14:textId="77777777" w:rsidTr="009B15D8">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1722A91D"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Rola:</w:t>
            </w:r>
            <w:r w:rsidRPr="005361A7">
              <w:rPr>
                <w:rFonts w:ascii="Calibri" w:eastAsia="Times New Roman" w:hAnsi="Calibri" w:cs="Calibri"/>
                <w:color w:val="000000"/>
                <w:lang w:eastAsia="sk-SK"/>
              </w:rPr>
              <w:t> </w:t>
            </w:r>
          </w:p>
        </w:tc>
        <w:tc>
          <w:tcPr>
            <w:tcW w:w="2590" w:type="dxa"/>
            <w:tcBorders>
              <w:top w:val="single" w:sz="6" w:space="0" w:color="auto"/>
              <w:left w:val="nil"/>
              <w:bottom w:val="single" w:sz="6" w:space="0" w:color="auto"/>
              <w:right w:val="single" w:sz="6" w:space="0" w:color="auto"/>
            </w:tcBorders>
            <w:shd w:val="clear" w:color="auto" w:fill="auto"/>
            <w:hideMark/>
          </w:tcPr>
          <w:p w14:paraId="27BE7B34" w14:textId="77777777" w:rsidR="009D7CBC" w:rsidRPr="005361A7" w:rsidRDefault="009D7CBC" w:rsidP="009B15D8">
            <w:pPr>
              <w:spacing w:after="0"/>
              <w:textAlignment w:val="baseline"/>
              <w:rPr>
                <w:rFonts w:ascii="Segoe UI" w:eastAsia="Times New Roman" w:hAnsi="Segoe UI" w:cs="Segoe UI"/>
                <w:sz w:val="18"/>
                <w:szCs w:val="18"/>
                <w:lang w:eastAsia="sk-SK"/>
              </w:rPr>
            </w:pPr>
          </w:p>
        </w:tc>
        <w:tc>
          <w:tcPr>
            <w:tcW w:w="5217" w:type="dxa"/>
            <w:tcBorders>
              <w:top w:val="single" w:sz="6" w:space="0" w:color="auto"/>
              <w:left w:val="nil"/>
              <w:bottom w:val="single" w:sz="6" w:space="0" w:color="auto"/>
              <w:right w:val="single" w:sz="6" w:space="0" w:color="auto"/>
            </w:tcBorders>
            <w:shd w:val="clear" w:color="auto" w:fill="auto"/>
            <w:hideMark/>
          </w:tcPr>
          <w:p w14:paraId="5189402C"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Referent rozpočtu </w:t>
            </w:r>
          </w:p>
        </w:tc>
      </w:tr>
      <w:tr w:rsidR="009D7CBC" w:rsidRPr="005361A7" w14:paraId="46D6766A" w14:textId="77777777" w:rsidTr="009B15D8">
        <w:trPr>
          <w:trHeight w:val="45"/>
        </w:trPr>
        <w:tc>
          <w:tcPr>
            <w:tcW w:w="1432" w:type="dxa"/>
            <w:tcBorders>
              <w:top w:val="nil"/>
              <w:left w:val="single" w:sz="6" w:space="0" w:color="auto"/>
              <w:bottom w:val="single" w:sz="6" w:space="0" w:color="auto"/>
              <w:right w:val="single" w:sz="6" w:space="0" w:color="auto"/>
            </w:tcBorders>
            <w:shd w:val="clear" w:color="auto" w:fill="auto"/>
            <w:hideMark/>
          </w:tcPr>
          <w:p w14:paraId="6F33643B"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Aktivita: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vAlign w:val="bottom"/>
            <w:hideMark/>
          </w:tcPr>
          <w:p w14:paraId="21993155"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M15.507.Z.00004.</w:t>
            </w:r>
          </w:p>
        </w:tc>
        <w:tc>
          <w:tcPr>
            <w:tcW w:w="5217" w:type="dxa"/>
            <w:tcBorders>
              <w:top w:val="nil"/>
              <w:left w:val="nil"/>
              <w:bottom w:val="single" w:sz="6" w:space="0" w:color="auto"/>
              <w:right w:val="single" w:sz="6" w:space="0" w:color="auto"/>
            </w:tcBorders>
            <w:shd w:val="clear" w:color="auto" w:fill="auto"/>
            <w:vAlign w:val="bottom"/>
            <w:hideMark/>
          </w:tcPr>
          <w:p w14:paraId="0D065423" w14:textId="77777777" w:rsidR="009D7CBC" w:rsidRPr="005361A7" w:rsidRDefault="009D7CBC" w:rsidP="009B15D8">
            <w:pPr>
              <w:spacing w:after="0"/>
              <w:textAlignment w:val="baseline"/>
              <w:rPr>
                <w:rFonts w:ascii="Segoe UI" w:eastAsia="Times New Roman" w:hAnsi="Segoe UI" w:cs="Segoe UI"/>
                <w:sz w:val="18"/>
                <w:szCs w:val="18"/>
                <w:lang w:eastAsia="sk-SK"/>
              </w:rPr>
            </w:pPr>
            <w:r w:rsidRPr="005361A7">
              <w:rPr>
                <w:rFonts w:eastAsia="Times New Roman" w:cstheme="minorHAnsi"/>
                <w:color w:val="000000"/>
              </w:rPr>
              <w:t>Zobrazenie plnenia na zmluve rozpočtovým opatrením</w:t>
            </w:r>
          </w:p>
        </w:tc>
      </w:tr>
      <w:tr w:rsidR="00E506E7" w:rsidRPr="005361A7" w14:paraId="497B09CF" w14:textId="77777777" w:rsidTr="009B15D8">
        <w:tc>
          <w:tcPr>
            <w:tcW w:w="1432" w:type="dxa"/>
            <w:tcBorders>
              <w:top w:val="nil"/>
              <w:left w:val="single" w:sz="6" w:space="0" w:color="auto"/>
              <w:bottom w:val="single" w:sz="6" w:space="0" w:color="auto"/>
              <w:right w:val="single" w:sz="6" w:space="0" w:color="auto"/>
            </w:tcBorders>
            <w:shd w:val="clear" w:color="auto" w:fill="auto"/>
            <w:hideMark/>
          </w:tcPr>
          <w:p w14:paraId="2C89A716"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b/>
                <w:bCs/>
                <w:color w:val="000000"/>
                <w:lang w:eastAsia="sk-SK"/>
              </w:rPr>
              <w:t>Transakcia:</w:t>
            </w:r>
            <w:r w:rsidRPr="005361A7">
              <w:rPr>
                <w:rFonts w:ascii="Calibri" w:eastAsia="Times New Roman" w:hAnsi="Calibri" w:cs="Calibri"/>
                <w:color w:val="000000"/>
                <w:lang w:eastAsia="sk-SK"/>
              </w:rPr>
              <w:t> </w:t>
            </w:r>
          </w:p>
        </w:tc>
        <w:tc>
          <w:tcPr>
            <w:tcW w:w="2590" w:type="dxa"/>
            <w:tcBorders>
              <w:top w:val="nil"/>
              <w:left w:val="nil"/>
              <w:bottom w:val="single" w:sz="6" w:space="0" w:color="auto"/>
              <w:right w:val="single" w:sz="6" w:space="0" w:color="auto"/>
            </w:tcBorders>
            <w:shd w:val="clear" w:color="auto" w:fill="auto"/>
            <w:hideMark/>
          </w:tcPr>
          <w:p w14:paraId="37DBC405" w14:textId="28322920" w:rsidR="00E506E7" w:rsidRPr="005361A7" w:rsidRDefault="00E506E7" w:rsidP="00E506E7">
            <w:pPr>
              <w:spacing w:after="0"/>
              <w:textAlignment w:val="baseline"/>
              <w:rPr>
                <w:rFonts w:ascii="Segoe UI" w:eastAsia="Times New Roman" w:hAnsi="Segoe UI" w:cs="Segoe UI"/>
                <w:sz w:val="18"/>
                <w:szCs w:val="18"/>
                <w:lang w:eastAsia="sk-SK"/>
              </w:rPr>
            </w:pPr>
            <w:r>
              <w:rPr>
                <w:rFonts w:ascii="Segoe UI" w:eastAsia="Times New Roman" w:hAnsi="Segoe UI" w:cs="Segoe UI"/>
                <w:sz w:val="18"/>
                <w:szCs w:val="18"/>
                <w:lang w:eastAsia="sk-SK"/>
              </w:rPr>
              <w:t>(Zákaznícky ABAP vývoj)</w:t>
            </w:r>
          </w:p>
        </w:tc>
        <w:tc>
          <w:tcPr>
            <w:tcW w:w="5217" w:type="dxa"/>
            <w:tcBorders>
              <w:top w:val="nil"/>
              <w:left w:val="nil"/>
              <w:bottom w:val="single" w:sz="6" w:space="0" w:color="auto"/>
              <w:right w:val="single" w:sz="6" w:space="0" w:color="auto"/>
            </w:tcBorders>
            <w:shd w:val="clear" w:color="auto" w:fill="auto"/>
            <w:hideMark/>
          </w:tcPr>
          <w:p w14:paraId="04FBC32B" w14:textId="77777777" w:rsidR="00E506E7" w:rsidRPr="005361A7" w:rsidRDefault="00E506E7" w:rsidP="00E506E7">
            <w:pPr>
              <w:spacing w:after="0"/>
              <w:textAlignment w:val="baseline"/>
              <w:rPr>
                <w:rFonts w:ascii="Segoe UI" w:eastAsia="Times New Roman" w:hAnsi="Segoe UI" w:cs="Segoe UI"/>
                <w:sz w:val="18"/>
                <w:szCs w:val="18"/>
                <w:lang w:eastAsia="sk-SK"/>
              </w:rPr>
            </w:pPr>
            <w:r w:rsidRPr="005361A7">
              <w:rPr>
                <w:rFonts w:ascii="Calibri" w:eastAsia="Times New Roman" w:hAnsi="Calibri" w:cs="Calibri"/>
                <w:color w:val="000000"/>
                <w:lang w:eastAsia="sk-SK"/>
              </w:rPr>
              <w:t>Prepojenie ELÚRu na doklad zmluvy</w:t>
            </w:r>
          </w:p>
        </w:tc>
      </w:tr>
    </w:tbl>
    <w:p w14:paraId="10342517" w14:textId="77777777" w:rsidR="009D7CBC" w:rsidRPr="005361A7" w:rsidRDefault="009D7CBC" w:rsidP="009D7CBC">
      <w:pPr>
        <w:rPr>
          <w:noProof/>
        </w:rPr>
      </w:pPr>
    </w:p>
    <w:p w14:paraId="3B7FA37F" w14:textId="77777777" w:rsidR="009D7CBC" w:rsidRPr="005361A7" w:rsidRDefault="009D7CBC" w:rsidP="009D7CBC">
      <w:pPr>
        <w:rPr>
          <w:noProof/>
        </w:rPr>
      </w:pPr>
      <w:r w:rsidRPr="005361A7">
        <w:rPr>
          <w:noProof/>
        </w:rPr>
        <w:drawing>
          <wp:inline distT="0" distB="0" distL="0" distR="0" wp14:anchorId="1B9688F2" wp14:editId="7910726B">
            <wp:extent cx="5943600" cy="71310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13105"/>
                    </a:xfrm>
                    <a:prstGeom prst="rect">
                      <a:avLst/>
                    </a:prstGeom>
                  </pic:spPr>
                </pic:pic>
              </a:graphicData>
            </a:graphic>
          </wp:inline>
        </w:drawing>
      </w:r>
    </w:p>
    <w:p w14:paraId="7F31AD25" w14:textId="77777777" w:rsidR="009D7CBC" w:rsidRPr="009A1BF3" w:rsidRDefault="009D7CBC" w:rsidP="009D7CBC">
      <w:pPr>
        <w:spacing w:after="0"/>
        <w:jc w:val="both"/>
        <w:rPr>
          <w:rFonts w:cstheme="minorHAnsi"/>
        </w:rPr>
      </w:pPr>
      <w:r w:rsidRPr="009A1BF3">
        <w:rPr>
          <w:rFonts w:eastAsia="Times New Roman" w:cstheme="minorHAnsi"/>
          <w:color w:val="000000"/>
          <w:lang w:eastAsia="sk-SK"/>
        </w:rPr>
        <w:t>Procesné diagramy patriace pod tento zložený procesný diagram sú popísané v separátnych procesných dokumentoch uvedených v bode 1.1.</w:t>
      </w:r>
    </w:p>
    <w:p w14:paraId="4930F0D2" w14:textId="5717E565" w:rsidR="008113CA" w:rsidRPr="008D32E4" w:rsidRDefault="008113CA" w:rsidP="009513FB">
      <w:pPr>
        <w:spacing w:after="0"/>
        <w:rPr>
          <w:rFonts w:cstheme="minorHAnsi"/>
        </w:rPr>
      </w:pPr>
    </w:p>
    <w:sectPr w:rsidR="008113CA" w:rsidRPr="008D32E4" w:rsidSect="00BC2C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1F9E" w14:textId="77777777" w:rsidR="00F17115" w:rsidRDefault="00F17115" w:rsidP="00581C2E">
      <w:pPr>
        <w:spacing w:after="0"/>
      </w:pPr>
      <w:r>
        <w:separator/>
      </w:r>
    </w:p>
  </w:endnote>
  <w:endnote w:type="continuationSeparator" w:id="0">
    <w:p w14:paraId="5DF657D5" w14:textId="77777777" w:rsidR="00F17115" w:rsidRDefault="00F17115" w:rsidP="00581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4D5A" w14:textId="77777777" w:rsidR="00F17115" w:rsidRDefault="00F17115" w:rsidP="00581C2E">
      <w:pPr>
        <w:spacing w:after="0"/>
      </w:pPr>
      <w:r>
        <w:separator/>
      </w:r>
    </w:p>
  </w:footnote>
  <w:footnote w:type="continuationSeparator" w:id="0">
    <w:p w14:paraId="709AABFF" w14:textId="77777777" w:rsidR="00F17115" w:rsidRDefault="00F17115" w:rsidP="00581C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0C2"/>
    <w:multiLevelType w:val="hybridMultilevel"/>
    <w:tmpl w:val="964EA420"/>
    <w:lvl w:ilvl="0" w:tplc="6F5A50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B29"/>
    <w:multiLevelType w:val="hybridMultilevel"/>
    <w:tmpl w:val="6B8C5260"/>
    <w:lvl w:ilvl="0" w:tplc="9EF470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346BF4"/>
    <w:multiLevelType w:val="multilevel"/>
    <w:tmpl w:val="E0D6FD5C"/>
    <w:lvl w:ilvl="0">
      <w:start w:val="1"/>
      <w:numFmt w:val="decimal"/>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683CF3"/>
    <w:multiLevelType w:val="hybridMultilevel"/>
    <w:tmpl w:val="E54C3D2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78E4855"/>
    <w:multiLevelType w:val="hybridMultilevel"/>
    <w:tmpl w:val="3990D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2D0ED5"/>
    <w:multiLevelType w:val="hybridMultilevel"/>
    <w:tmpl w:val="8B64E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4D341E"/>
    <w:multiLevelType w:val="hybridMultilevel"/>
    <w:tmpl w:val="30848E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3A4EC0"/>
    <w:multiLevelType w:val="hybridMultilevel"/>
    <w:tmpl w:val="A6605442"/>
    <w:lvl w:ilvl="0" w:tplc="DDB0288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A63B78"/>
    <w:multiLevelType w:val="hybridMultilevel"/>
    <w:tmpl w:val="FC6ECA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E16DA7"/>
    <w:multiLevelType w:val="hybridMultilevel"/>
    <w:tmpl w:val="F4A040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B22090C"/>
    <w:multiLevelType w:val="hybridMultilevel"/>
    <w:tmpl w:val="A02A1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5C5A51"/>
    <w:multiLevelType w:val="hybridMultilevel"/>
    <w:tmpl w:val="4440A06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0953536"/>
    <w:multiLevelType w:val="hybridMultilevel"/>
    <w:tmpl w:val="0DEEA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DF32D0"/>
    <w:multiLevelType w:val="hybridMultilevel"/>
    <w:tmpl w:val="0A747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E83041"/>
    <w:multiLevelType w:val="multilevel"/>
    <w:tmpl w:val="FFAC03E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59E55F0E"/>
    <w:multiLevelType w:val="hybridMultilevel"/>
    <w:tmpl w:val="A998A41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6" w15:restartNumberingAfterBreak="0">
    <w:nsid w:val="5F6B5A87"/>
    <w:multiLevelType w:val="multilevel"/>
    <w:tmpl w:val="F20EB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32266B"/>
    <w:multiLevelType w:val="hybridMultilevel"/>
    <w:tmpl w:val="42C61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FD15FF"/>
    <w:multiLevelType w:val="hybridMultilevel"/>
    <w:tmpl w:val="E76839F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6F3E70EE"/>
    <w:multiLevelType w:val="hybridMultilevel"/>
    <w:tmpl w:val="2EB2B0F4"/>
    <w:lvl w:ilvl="0" w:tplc="A2ECE378">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63D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AC6FB5"/>
    <w:multiLevelType w:val="hybridMultilevel"/>
    <w:tmpl w:val="57E094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924348D"/>
    <w:multiLevelType w:val="hybridMultilevel"/>
    <w:tmpl w:val="3DD0A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57931835">
    <w:abstractNumId w:val="7"/>
  </w:num>
  <w:num w:numId="2" w16cid:durableId="687679553">
    <w:abstractNumId w:val="7"/>
  </w:num>
  <w:num w:numId="3" w16cid:durableId="915867637">
    <w:abstractNumId w:val="16"/>
  </w:num>
  <w:num w:numId="4" w16cid:durableId="458425617">
    <w:abstractNumId w:val="2"/>
  </w:num>
  <w:num w:numId="5" w16cid:durableId="1530221898">
    <w:abstractNumId w:val="0"/>
  </w:num>
  <w:num w:numId="6" w16cid:durableId="1370227652">
    <w:abstractNumId w:val="0"/>
  </w:num>
  <w:num w:numId="7" w16cid:durableId="1430388785">
    <w:abstractNumId w:val="0"/>
  </w:num>
  <w:num w:numId="8" w16cid:durableId="797529804">
    <w:abstractNumId w:val="19"/>
  </w:num>
  <w:num w:numId="9" w16cid:durableId="1598169721">
    <w:abstractNumId w:val="20"/>
  </w:num>
  <w:num w:numId="10" w16cid:durableId="1967926989">
    <w:abstractNumId w:val="14"/>
  </w:num>
  <w:num w:numId="11" w16cid:durableId="970135878">
    <w:abstractNumId w:val="14"/>
  </w:num>
  <w:num w:numId="12" w16cid:durableId="1668023121">
    <w:abstractNumId w:val="14"/>
  </w:num>
  <w:num w:numId="13" w16cid:durableId="1287156878">
    <w:abstractNumId w:val="14"/>
  </w:num>
  <w:num w:numId="14" w16cid:durableId="1708405">
    <w:abstractNumId w:val="1"/>
  </w:num>
  <w:num w:numId="15" w16cid:durableId="805658310">
    <w:abstractNumId w:val="10"/>
  </w:num>
  <w:num w:numId="16" w16cid:durableId="1225680466">
    <w:abstractNumId w:val="12"/>
  </w:num>
  <w:num w:numId="17" w16cid:durableId="1365211626">
    <w:abstractNumId w:val="13"/>
  </w:num>
  <w:num w:numId="18" w16cid:durableId="1064379062">
    <w:abstractNumId w:val="5"/>
  </w:num>
  <w:num w:numId="19" w16cid:durableId="2108386907">
    <w:abstractNumId w:val="18"/>
  </w:num>
  <w:num w:numId="20" w16cid:durableId="790516993">
    <w:abstractNumId w:val="22"/>
  </w:num>
  <w:num w:numId="21" w16cid:durableId="1503158607">
    <w:abstractNumId w:val="9"/>
  </w:num>
  <w:num w:numId="22" w16cid:durableId="883323998">
    <w:abstractNumId w:val="21"/>
  </w:num>
  <w:num w:numId="23" w16cid:durableId="1145779849">
    <w:abstractNumId w:val="4"/>
  </w:num>
  <w:num w:numId="24" w16cid:durableId="1985352618">
    <w:abstractNumId w:val="17"/>
  </w:num>
  <w:num w:numId="25" w16cid:durableId="688526066">
    <w:abstractNumId w:val="3"/>
  </w:num>
  <w:num w:numId="26" w16cid:durableId="4750785">
    <w:abstractNumId w:val="11"/>
  </w:num>
  <w:num w:numId="27" w16cid:durableId="531453439">
    <w:abstractNumId w:val="15"/>
  </w:num>
  <w:num w:numId="28" w16cid:durableId="1121266661">
    <w:abstractNumId w:val="6"/>
  </w:num>
  <w:num w:numId="29" w16cid:durableId="2129158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BB"/>
    <w:rsid w:val="000377F8"/>
    <w:rsid w:val="00040218"/>
    <w:rsid w:val="0005381C"/>
    <w:rsid w:val="00054066"/>
    <w:rsid w:val="00054468"/>
    <w:rsid w:val="000549D6"/>
    <w:rsid w:val="000630A8"/>
    <w:rsid w:val="00065453"/>
    <w:rsid w:val="00080116"/>
    <w:rsid w:val="00083EF6"/>
    <w:rsid w:val="00086241"/>
    <w:rsid w:val="00093BFD"/>
    <w:rsid w:val="00095E7C"/>
    <w:rsid w:val="000A59DF"/>
    <w:rsid w:val="000B1FE1"/>
    <w:rsid w:val="000B2AC8"/>
    <w:rsid w:val="000B62F2"/>
    <w:rsid w:val="000D2800"/>
    <w:rsid w:val="000E7C1B"/>
    <w:rsid w:val="000F64A0"/>
    <w:rsid w:val="001001C0"/>
    <w:rsid w:val="001128E9"/>
    <w:rsid w:val="00120A39"/>
    <w:rsid w:val="00122B41"/>
    <w:rsid w:val="00142CA6"/>
    <w:rsid w:val="0014567F"/>
    <w:rsid w:val="00160A15"/>
    <w:rsid w:val="0017198E"/>
    <w:rsid w:val="001727E7"/>
    <w:rsid w:val="001E79FC"/>
    <w:rsid w:val="001F1334"/>
    <w:rsid w:val="001F4365"/>
    <w:rsid w:val="00213BD3"/>
    <w:rsid w:val="00214118"/>
    <w:rsid w:val="00220909"/>
    <w:rsid w:val="00232520"/>
    <w:rsid w:val="00235A4E"/>
    <w:rsid w:val="002369E5"/>
    <w:rsid w:val="00237ED7"/>
    <w:rsid w:val="00253B67"/>
    <w:rsid w:val="00266135"/>
    <w:rsid w:val="0029028B"/>
    <w:rsid w:val="00294F6F"/>
    <w:rsid w:val="00297EAB"/>
    <w:rsid w:val="002A159F"/>
    <w:rsid w:val="002C27AA"/>
    <w:rsid w:val="002C2A5F"/>
    <w:rsid w:val="002D2F9A"/>
    <w:rsid w:val="002E6E5E"/>
    <w:rsid w:val="002F5A9D"/>
    <w:rsid w:val="00316021"/>
    <w:rsid w:val="003167DC"/>
    <w:rsid w:val="00324553"/>
    <w:rsid w:val="0032740F"/>
    <w:rsid w:val="00335863"/>
    <w:rsid w:val="00335CBA"/>
    <w:rsid w:val="00347737"/>
    <w:rsid w:val="00355F3C"/>
    <w:rsid w:val="00357E8A"/>
    <w:rsid w:val="003659A8"/>
    <w:rsid w:val="00372B08"/>
    <w:rsid w:val="00375D7D"/>
    <w:rsid w:val="0038588B"/>
    <w:rsid w:val="00391DF2"/>
    <w:rsid w:val="003A2EF2"/>
    <w:rsid w:val="003A5B48"/>
    <w:rsid w:val="003B158B"/>
    <w:rsid w:val="003B4869"/>
    <w:rsid w:val="003D20D8"/>
    <w:rsid w:val="003D531D"/>
    <w:rsid w:val="003D6674"/>
    <w:rsid w:val="003E5970"/>
    <w:rsid w:val="003F658C"/>
    <w:rsid w:val="00411EE6"/>
    <w:rsid w:val="00414EEF"/>
    <w:rsid w:val="00421E24"/>
    <w:rsid w:val="00427DCB"/>
    <w:rsid w:val="004341AD"/>
    <w:rsid w:val="00434D9D"/>
    <w:rsid w:val="00452824"/>
    <w:rsid w:val="0045597B"/>
    <w:rsid w:val="00460887"/>
    <w:rsid w:val="00461B9B"/>
    <w:rsid w:val="0046579B"/>
    <w:rsid w:val="004808B2"/>
    <w:rsid w:val="00480C22"/>
    <w:rsid w:val="004A6E82"/>
    <w:rsid w:val="004B2431"/>
    <w:rsid w:val="004B532B"/>
    <w:rsid w:val="004B72C2"/>
    <w:rsid w:val="004C14FF"/>
    <w:rsid w:val="004C229A"/>
    <w:rsid w:val="004C2ED3"/>
    <w:rsid w:val="004C5368"/>
    <w:rsid w:val="004C5473"/>
    <w:rsid w:val="004D1DD5"/>
    <w:rsid w:val="004D61EB"/>
    <w:rsid w:val="00504DAE"/>
    <w:rsid w:val="00522E97"/>
    <w:rsid w:val="00525B83"/>
    <w:rsid w:val="00527BA1"/>
    <w:rsid w:val="00537F07"/>
    <w:rsid w:val="00544584"/>
    <w:rsid w:val="005448F1"/>
    <w:rsid w:val="00546CF5"/>
    <w:rsid w:val="005536CB"/>
    <w:rsid w:val="00581C2E"/>
    <w:rsid w:val="00592090"/>
    <w:rsid w:val="0059266F"/>
    <w:rsid w:val="00592EEB"/>
    <w:rsid w:val="00593572"/>
    <w:rsid w:val="005B0F90"/>
    <w:rsid w:val="005B613E"/>
    <w:rsid w:val="005B776C"/>
    <w:rsid w:val="005B7A1F"/>
    <w:rsid w:val="005C5385"/>
    <w:rsid w:val="005D79E8"/>
    <w:rsid w:val="005E258B"/>
    <w:rsid w:val="005E2883"/>
    <w:rsid w:val="005E57BF"/>
    <w:rsid w:val="005F4C42"/>
    <w:rsid w:val="0060614F"/>
    <w:rsid w:val="0062525E"/>
    <w:rsid w:val="006407A3"/>
    <w:rsid w:val="00652A70"/>
    <w:rsid w:val="00661FC1"/>
    <w:rsid w:val="00671889"/>
    <w:rsid w:val="00681BCD"/>
    <w:rsid w:val="006829E5"/>
    <w:rsid w:val="00692556"/>
    <w:rsid w:val="006A182B"/>
    <w:rsid w:val="006B7BDF"/>
    <w:rsid w:val="006C1853"/>
    <w:rsid w:val="006C478C"/>
    <w:rsid w:val="006F1223"/>
    <w:rsid w:val="006F4093"/>
    <w:rsid w:val="00701B97"/>
    <w:rsid w:val="00712F3A"/>
    <w:rsid w:val="00721D12"/>
    <w:rsid w:val="00776FD2"/>
    <w:rsid w:val="007824A6"/>
    <w:rsid w:val="00782675"/>
    <w:rsid w:val="007877F0"/>
    <w:rsid w:val="007904F0"/>
    <w:rsid w:val="00790866"/>
    <w:rsid w:val="00791CD0"/>
    <w:rsid w:val="007A0ACA"/>
    <w:rsid w:val="007A2E7E"/>
    <w:rsid w:val="007A7269"/>
    <w:rsid w:val="007B3931"/>
    <w:rsid w:val="007C6070"/>
    <w:rsid w:val="007F0CB6"/>
    <w:rsid w:val="007F5D6D"/>
    <w:rsid w:val="00800082"/>
    <w:rsid w:val="008113CA"/>
    <w:rsid w:val="00814F78"/>
    <w:rsid w:val="00831AE8"/>
    <w:rsid w:val="008355BB"/>
    <w:rsid w:val="0084258F"/>
    <w:rsid w:val="00845A66"/>
    <w:rsid w:val="00852B81"/>
    <w:rsid w:val="008530CD"/>
    <w:rsid w:val="00854DE6"/>
    <w:rsid w:val="008617C3"/>
    <w:rsid w:val="00871464"/>
    <w:rsid w:val="008726DA"/>
    <w:rsid w:val="00886EEA"/>
    <w:rsid w:val="00891BE1"/>
    <w:rsid w:val="008978C6"/>
    <w:rsid w:val="008B2A36"/>
    <w:rsid w:val="008C0FB0"/>
    <w:rsid w:val="008C1E9A"/>
    <w:rsid w:val="008D2A30"/>
    <w:rsid w:val="008D32E4"/>
    <w:rsid w:val="008E3569"/>
    <w:rsid w:val="008E6D19"/>
    <w:rsid w:val="0091225E"/>
    <w:rsid w:val="0092702B"/>
    <w:rsid w:val="0093584F"/>
    <w:rsid w:val="009466EB"/>
    <w:rsid w:val="009467BB"/>
    <w:rsid w:val="009513FB"/>
    <w:rsid w:val="00956E82"/>
    <w:rsid w:val="009605A1"/>
    <w:rsid w:val="00971086"/>
    <w:rsid w:val="0098012A"/>
    <w:rsid w:val="00987A7A"/>
    <w:rsid w:val="00997A8D"/>
    <w:rsid w:val="009B1F12"/>
    <w:rsid w:val="009C05E7"/>
    <w:rsid w:val="009D0D50"/>
    <w:rsid w:val="009D65E8"/>
    <w:rsid w:val="009D7CBC"/>
    <w:rsid w:val="009E2E5C"/>
    <w:rsid w:val="009F06B3"/>
    <w:rsid w:val="009F20DC"/>
    <w:rsid w:val="009F5167"/>
    <w:rsid w:val="00A106B4"/>
    <w:rsid w:val="00A127B2"/>
    <w:rsid w:val="00A166E1"/>
    <w:rsid w:val="00A168F8"/>
    <w:rsid w:val="00A2127B"/>
    <w:rsid w:val="00A22746"/>
    <w:rsid w:val="00A230C7"/>
    <w:rsid w:val="00A23147"/>
    <w:rsid w:val="00A31DF6"/>
    <w:rsid w:val="00A34A39"/>
    <w:rsid w:val="00A43F6C"/>
    <w:rsid w:val="00A46457"/>
    <w:rsid w:val="00A4702B"/>
    <w:rsid w:val="00A55754"/>
    <w:rsid w:val="00A62706"/>
    <w:rsid w:val="00A72D81"/>
    <w:rsid w:val="00A90C50"/>
    <w:rsid w:val="00A92A76"/>
    <w:rsid w:val="00A9743F"/>
    <w:rsid w:val="00AA4F9A"/>
    <w:rsid w:val="00AC428D"/>
    <w:rsid w:val="00AD29B5"/>
    <w:rsid w:val="00AD4A0D"/>
    <w:rsid w:val="00AE725A"/>
    <w:rsid w:val="00AE7D95"/>
    <w:rsid w:val="00AF6E40"/>
    <w:rsid w:val="00AF7DBF"/>
    <w:rsid w:val="00B073FF"/>
    <w:rsid w:val="00B14883"/>
    <w:rsid w:val="00B176E1"/>
    <w:rsid w:val="00B36452"/>
    <w:rsid w:val="00B52CA4"/>
    <w:rsid w:val="00B53431"/>
    <w:rsid w:val="00B605EF"/>
    <w:rsid w:val="00B6410D"/>
    <w:rsid w:val="00B73138"/>
    <w:rsid w:val="00B76BB1"/>
    <w:rsid w:val="00B855D6"/>
    <w:rsid w:val="00BB1CEB"/>
    <w:rsid w:val="00BB2922"/>
    <w:rsid w:val="00BC0C7A"/>
    <w:rsid w:val="00BC2CDC"/>
    <w:rsid w:val="00BC41E5"/>
    <w:rsid w:val="00BC6B09"/>
    <w:rsid w:val="00BD750D"/>
    <w:rsid w:val="00BF08E0"/>
    <w:rsid w:val="00BF3046"/>
    <w:rsid w:val="00BF5193"/>
    <w:rsid w:val="00C005F2"/>
    <w:rsid w:val="00C14B12"/>
    <w:rsid w:val="00C30770"/>
    <w:rsid w:val="00C31685"/>
    <w:rsid w:val="00C42811"/>
    <w:rsid w:val="00C54383"/>
    <w:rsid w:val="00C63184"/>
    <w:rsid w:val="00C632D6"/>
    <w:rsid w:val="00C75F9B"/>
    <w:rsid w:val="00C77563"/>
    <w:rsid w:val="00C77A6D"/>
    <w:rsid w:val="00CA40DF"/>
    <w:rsid w:val="00CB26C3"/>
    <w:rsid w:val="00CB3DF3"/>
    <w:rsid w:val="00CB5967"/>
    <w:rsid w:val="00CC2138"/>
    <w:rsid w:val="00CC21CE"/>
    <w:rsid w:val="00CD694B"/>
    <w:rsid w:val="00CD6F1B"/>
    <w:rsid w:val="00CE34C7"/>
    <w:rsid w:val="00CE4053"/>
    <w:rsid w:val="00CE57B5"/>
    <w:rsid w:val="00CF15DB"/>
    <w:rsid w:val="00CF33B6"/>
    <w:rsid w:val="00CF7B97"/>
    <w:rsid w:val="00D1504A"/>
    <w:rsid w:val="00D302BE"/>
    <w:rsid w:val="00D31F62"/>
    <w:rsid w:val="00D32240"/>
    <w:rsid w:val="00D95CB1"/>
    <w:rsid w:val="00DB7678"/>
    <w:rsid w:val="00DD0BC1"/>
    <w:rsid w:val="00DD5CDD"/>
    <w:rsid w:val="00DD7F7C"/>
    <w:rsid w:val="00DF20A7"/>
    <w:rsid w:val="00E0582A"/>
    <w:rsid w:val="00E07918"/>
    <w:rsid w:val="00E13AD0"/>
    <w:rsid w:val="00E153CA"/>
    <w:rsid w:val="00E322BA"/>
    <w:rsid w:val="00E506E7"/>
    <w:rsid w:val="00E52EB5"/>
    <w:rsid w:val="00E741C9"/>
    <w:rsid w:val="00EA0326"/>
    <w:rsid w:val="00EA5A03"/>
    <w:rsid w:val="00ED16A3"/>
    <w:rsid w:val="00ED6593"/>
    <w:rsid w:val="00F05EEB"/>
    <w:rsid w:val="00F10312"/>
    <w:rsid w:val="00F131DD"/>
    <w:rsid w:val="00F17115"/>
    <w:rsid w:val="00F5265F"/>
    <w:rsid w:val="00F61DC6"/>
    <w:rsid w:val="00F71424"/>
    <w:rsid w:val="00F8516B"/>
    <w:rsid w:val="00F86547"/>
    <w:rsid w:val="00F93D21"/>
    <w:rsid w:val="00F94FD3"/>
    <w:rsid w:val="00FA178B"/>
    <w:rsid w:val="00FA5DEF"/>
    <w:rsid w:val="00FB0BE1"/>
    <w:rsid w:val="00FB2802"/>
    <w:rsid w:val="00FC0386"/>
    <w:rsid w:val="00FC4F77"/>
    <w:rsid w:val="00FC66A8"/>
    <w:rsid w:val="00FC6DE7"/>
    <w:rsid w:val="00FD20B9"/>
    <w:rsid w:val="00FD2EAD"/>
    <w:rsid w:val="00FD409E"/>
    <w:rsid w:val="00FE55B5"/>
    <w:rsid w:val="00FF03DF"/>
    <w:rsid w:val="00FF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76627B"/>
  <w15:chartTrackingRefBased/>
  <w15:docId w15:val="{4D88CCFF-A4FF-40E9-9041-7CED7D25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80"/>
        <w:ind w:left="720"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55BB"/>
    <w:pPr>
      <w:ind w:left="0" w:firstLine="0"/>
    </w:pPr>
    <w:rPr>
      <w:lang w:val="sk-SK"/>
    </w:rPr>
  </w:style>
  <w:style w:type="paragraph" w:styleId="Nadpis1">
    <w:name w:val="heading 1"/>
    <w:basedOn w:val="Normlny"/>
    <w:next w:val="Normlny"/>
    <w:link w:val="Nadpis1Char"/>
    <w:autoRedefine/>
    <w:qFormat/>
    <w:rsid w:val="00671889"/>
    <w:pPr>
      <w:keepNext/>
      <w:pageBreakBefore/>
      <w:numPr>
        <w:numId w:val="10"/>
      </w:numPr>
      <w:overflowPunct w:val="0"/>
      <w:autoSpaceDE w:val="0"/>
      <w:autoSpaceDN w:val="0"/>
      <w:adjustRightInd w:val="0"/>
      <w:contextualSpacing/>
      <w:textAlignment w:val="baseline"/>
      <w:outlineLvl w:val="0"/>
    </w:pPr>
    <w:rPr>
      <w:rFonts w:ascii="Calibri" w:eastAsia="Times New Roman" w:hAnsi="Calibri" w:cs="Calibri"/>
      <w:b/>
      <w:sz w:val="28"/>
      <w:szCs w:val="28"/>
    </w:rPr>
  </w:style>
  <w:style w:type="paragraph" w:styleId="Nadpis2">
    <w:name w:val="heading 2"/>
    <w:basedOn w:val="Normlny"/>
    <w:next w:val="Normlny"/>
    <w:link w:val="Nadpis2Char"/>
    <w:autoRedefine/>
    <w:uiPriority w:val="9"/>
    <w:unhideWhenUsed/>
    <w:qFormat/>
    <w:rsid w:val="00581C2E"/>
    <w:pPr>
      <w:keepNext/>
      <w:keepLines/>
      <w:numPr>
        <w:ilvl w:val="1"/>
        <w:numId w:val="10"/>
      </w:numPr>
      <w:spacing w:before="100" w:beforeAutospacing="1" w:after="100" w:afterAutospacing="1"/>
      <w:outlineLvl w:val="1"/>
    </w:pPr>
    <w:rPr>
      <w:rFonts w:ascii="Calibri" w:eastAsiaTheme="majorEastAsia" w:hAnsi="Calibri" w:cstheme="majorBidi"/>
      <w:b/>
      <w:sz w:val="24"/>
      <w:szCs w:val="24"/>
    </w:rPr>
  </w:style>
  <w:style w:type="paragraph" w:styleId="Nadpis3">
    <w:name w:val="heading 3"/>
    <w:basedOn w:val="Normlny"/>
    <w:next w:val="Normlny"/>
    <w:link w:val="Nadpis3Char"/>
    <w:autoRedefine/>
    <w:uiPriority w:val="9"/>
    <w:unhideWhenUsed/>
    <w:qFormat/>
    <w:rsid w:val="005B0F90"/>
    <w:pPr>
      <w:keepNext/>
      <w:keepLines/>
      <w:numPr>
        <w:ilvl w:val="2"/>
        <w:numId w:val="10"/>
      </w:numPr>
      <w:spacing w:after="0"/>
      <w:contextualSpacing/>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712F3A"/>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712F3A"/>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712F3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712F3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712F3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12F3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71889"/>
    <w:rPr>
      <w:rFonts w:ascii="Calibri" w:eastAsia="Times New Roman" w:hAnsi="Calibri" w:cs="Calibri"/>
      <w:b/>
      <w:sz w:val="28"/>
      <w:szCs w:val="28"/>
      <w:lang w:val="sk-SK"/>
    </w:rPr>
  </w:style>
  <w:style w:type="paragraph" w:styleId="Nzov">
    <w:name w:val="Title"/>
    <w:basedOn w:val="Normlny"/>
    <w:next w:val="Normlny"/>
    <w:link w:val="NzovChar"/>
    <w:autoRedefine/>
    <w:uiPriority w:val="10"/>
    <w:qFormat/>
    <w:rsid w:val="0014567F"/>
    <w:pPr>
      <w:spacing w:after="0"/>
      <w:ind w:left="720" w:hanging="360"/>
      <w:contextualSpacing/>
    </w:pPr>
    <w:rPr>
      <w:rFonts w:ascii="Calibri" w:eastAsiaTheme="majorEastAsia" w:hAnsi="Calibri" w:cstheme="majorBidi"/>
      <w:spacing w:val="-10"/>
      <w:kern w:val="28"/>
      <w:sz w:val="28"/>
      <w:szCs w:val="56"/>
    </w:rPr>
  </w:style>
  <w:style w:type="character" w:customStyle="1" w:styleId="NzovChar">
    <w:name w:val="Názov Char"/>
    <w:basedOn w:val="Predvolenpsmoodseku"/>
    <w:link w:val="Nzov"/>
    <w:uiPriority w:val="10"/>
    <w:rsid w:val="0014567F"/>
    <w:rPr>
      <w:rFonts w:ascii="Calibri" w:eastAsiaTheme="majorEastAsia" w:hAnsi="Calibri" w:cstheme="majorBidi"/>
      <w:b/>
      <w:spacing w:val="-10"/>
      <w:kern w:val="28"/>
      <w:sz w:val="28"/>
      <w:szCs w:val="56"/>
      <w:lang w:val="sk-SK"/>
    </w:rPr>
  </w:style>
  <w:style w:type="character" w:customStyle="1" w:styleId="Nadpis2Char">
    <w:name w:val="Nadpis 2 Char"/>
    <w:basedOn w:val="Predvolenpsmoodseku"/>
    <w:link w:val="Nadpis2"/>
    <w:uiPriority w:val="9"/>
    <w:rsid w:val="00581C2E"/>
    <w:rPr>
      <w:rFonts w:ascii="Calibri" w:eastAsiaTheme="majorEastAsia" w:hAnsi="Calibri" w:cstheme="majorBidi"/>
      <w:b/>
      <w:sz w:val="24"/>
      <w:szCs w:val="24"/>
      <w:lang w:val="sk-SK"/>
    </w:rPr>
  </w:style>
  <w:style w:type="character" w:customStyle="1" w:styleId="Nadpis3Char">
    <w:name w:val="Nadpis 3 Char"/>
    <w:basedOn w:val="Predvolenpsmoodseku"/>
    <w:link w:val="Nadpis3"/>
    <w:uiPriority w:val="9"/>
    <w:rsid w:val="005B0F90"/>
    <w:rPr>
      <w:rFonts w:asciiTheme="majorHAnsi" w:eastAsiaTheme="majorEastAsia" w:hAnsiTheme="majorHAnsi" w:cstheme="majorBidi"/>
      <w:color w:val="1F3763" w:themeColor="accent1" w:themeShade="7F"/>
      <w:szCs w:val="24"/>
      <w:lang w:val="sk-SK"/>
    </w:rPr>
  </w:style>
  <w:style w:type="character" w:customStyle="1" w:styleId="Nadpis4Char">
    <w:name w:val="Nadpis 4 Char"/>
    <w:basedOn w:val="Predvolenpsmoodseku"/>
    <w:link w:val="Nadpis4"/>
    <w:uiPriority w:val="9"/>
    <w:semiHidden/>
    <w:rsid w:val="00712F3A"/>
    <w:rPr>
      <w:rFonts w:asciiTheme="majorHAnsi" w:eastAsiaTheme="majorEastAsia" w:hAnsiTheme="majorHAnsi" w:cstheme="majorBidi"/>
      <w:i/>
      <w:iCs/>
      <w:color w:val="2F5496" w:themeColor="accent1" w:themeShade="BF"/>
      <w:lang w:val="sk-SK"/>
    </w:rPr>
  </w:style>
  <w:style w:type="character" w:customStyle="1" w:styleId="Nadpis5Char">
    <w:name w:val="Nadpis 5 Char"/>
    <w:basedOn w:val="Predvolenpsmoodseku"/>
    <w:link w:val="Nadpis5"/>
    <w:uiPriority w:val="9"/>
    <w:semiHidden/>
    <w:rsid w:val="00712F3A"/>
    <w:rPr>
      <w:rFonts w:asciiTheme="majorHAnsi" w:eastAsiaTheme="majorEastAsia" w:hAnsiTheme="majorHAnsi" w:cstheme="majorBidi"/>
      <w:color w:val="2F5496" w:themeColor="accent1" w:themeShade="BF"/>
      <w:lang w:val="sk-SK"/>
    </w:rPr>
  </w:style>
  <w:style w:type="character" w:customStyle="1" w:styleId="Nadpis6Char">
    <w:name w:val="Nadpis 6 Char"/>
    <w:basedOn w:val="Predvolenpsmoodseku"/>
    <w:link w:val="Nadpis6"/>
    <w:uiPriority w:val="9"/>
    <w:semiHidden/>
    <w:rsid w:val="00712F3A"/>
    <w:rPr>
      <w:rFonts w:asciiTheme="majorHAnsi" w:eastAsiaTheme="majorEastAsia" w:hAnsiTheme="majorHAnsi" w:cstheme="majorBidi"/>
      <w:color w:val="1F3763" w:themeColor="accent1" w:themeShade="7F"/>
      <w:lang w:val="sk-SK"/>
    </w:rPr>
  </w:style>
  <w:style w:type="character" w:customStyle="1" w:styleId="Nadpis7Char">
    <w:name w:val="Nadpis 7 Char"/>
    <w:basedOn w:val="Predvolenpsmoodseku"/>
    <w:link w:val="Nadpis7"/>
    <w:uiPriority w:val="9"/>
    <w:semiHidden/>
    <w:rsid w:val="00712F3A"/>
    <w:rPr>
      <w:rFonts w:asciiTheme="majorHAnsi" w:eastAsiaTheme="majorEastAsia" w:hAnsiTheme="majorHAnsi" w:cstheme="majorBidi"/>
      <w:i/>
      <w:iCs/>
      <w:color w:val="1F3763" w:themeColor="accent1" w:themeShade="7F"/>
      <w:lang w:val="sk-SK"/>
    </w:rPr>
  </w:style>
  <w:style w:type="character" w:customStyle="1" w:styleId="Nadpis8Char">
    <w:name w:val="Nadpis 8 Char"/>
    <w:basedOn w:val="Predvolenpsmoodseku"/>
    <w:link w:val="Nadpis8"/>
    <w:uiPriority w:val="9"/>
    <w:semiHidden/>
    <w:rsid w:val="00712F3A"/>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712F3A"/>
    <w:rPr>
      <w:rFonts w:asciiTheme="majorHAnsi" w:eastAsiaTheme="majorEastAsia" w:hAnsiTheme="majorHAnsi" w:cstheme="majorBidi"/>
      <w:i/>
      <w:iCs/>
      <w:color w:val="272727" w:themeColor="text1" w:themeTint="D8"/>
      <w:sz w:val="21"/>
      <w:szCs w:val="21"/>
      <w:lang w:val="sk-SK"/>
    </w:rPr>
  </w:style>
  <w:style w:type="character" w:styleId="Odkaznakomentr">
    <w:name w:val="annotation reference"/>
    <w:basedOn w:val="Predvolenpsmoodseku"/>
    <w:uiPriority w:val="99"/>
    <w:semiHidden/>
    <w:unhideWhenUsed/>
    <w:rsid w:val="00D95CB1"/>
    <w:rPr>
      <w:sz w:val="16"/>
      <w:szCs w:val="16"/>
    </w:rPr>
  </w:style>
  <w:style w:type="paragraph" w:styleId="Textkomentra">
    <w:name w:val="annotation text"/>
    <w:basedOn w:val="Normlny"/>
    <w:link w:val="TextkomentraChar"/>
    <w:uiPriority w:val="99"/>
    <w:semiHidden/>
    <w:unhideWhenUsed/>
    <w:rsid w:val="00D95CB1"/>
    <w:rPr>
      <w:sz w:val="20"/>
      <w:szCs w:val="20"/>
    </w:rPr>
  </w:style>
  <w:style w:type="character" w:customStyle="1" w:styleId="TextkomentraChar">
    <w:name w:val="Text komentára Char"/>
    <w:basedOn w:val="Predvolenpsmoodseku"/>
    <w:link w:val="Textkomentra"/>
    <w:uiPriority w:val="99"/>
    <w:semiHidden/>
    <w:rsid w:val="00D95CB1"/>
    <w:rPr>
      <w:sz w:val="20"/>
      <w:szCs w:val="20"/>
      <w:lang w:val="sk-SK"/>
    </w:rPr>
  </w:style>
  <w:style w:type="paragraph" w:styleId="Predmetkomentra">
    <w:name w:val="annotation subject"/>
    <w:basedOn w:val="Textkomentra"/>
    <w:next w:val="Textkomentra"/>
    <w:link w:val="PredmetkomentraChar"/>
    <w:uiPriority w:val="99"/>
    <w:semiHidden/>
    <w:unhideWhenUsed/>
    <w:rsid w:val="00D95CB1"/>
    <w:rPr>
      <w:b/>
      <w:bCs/>
    </w:rPr>
  </w:style>
  <w:style w:type="character" w:customStyle="1" w:styleId="PredmetkomentraChar">
    <w:name w:val="Predmet komentára Char"/>
    <w:basedOn w:val="TextkomentraChar"/>
    <w:link w:val="Predmetkomentra"/>
    <w:uiPriority w:val="99"/>
    <w:semiHidden/>
    <w:rsid w:val="00D95CB1"/>
    <w:rPr>
      <w:b/>
      <w:bCs/>
      <w:sz w:val="20"/>
      <w:szCs w:val="20"/>
      <w:lang w:val="sk-SK"/>
    </w:rPr>
  </w:style>
  <w:style w:type="paragraph" w:styleId="Textbubliny">
    <w:name w:val="Balloon Text"/>
    <w:basedOn w:val="Normlny"/>
    <w:link w:val="TextbublinyChar"/>
    <w:uiPriority w:val="99"/>
    <w:semiHidden/>
    <w:unhideWhenUsed/>
    <w:rsid w:val="00D95CB1"/>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5CB1"/>
    <w:rPr>
      <w:rFonts w:ascii="Segoe UI" w:hAnsi="Segoe UI" w:cs="Segoe UI"/>
      <w:sz w:val="18"/>
      <w:szCs w:val="18"/>
      <w:lang w:val="sk-SK"/>
    </w:rPr>
  </w:style>
  <w:style w:type="paragraph" w:styleId="Popis">
    <w:name w:val="caption"/>
    <w:basedOn w:val="Normlny"/>
    <w:next w:val="Normlny"/>
    <w:uiPriority w:val="35"/>
    <w:unhideWhenUsed/>
    <w:qFormat/>
    <w:rsid w:val="008C0FB0"/>
    <w:pPr>
      <w:spacing w:after="200"/>
    </w:pPr>
    <w:rPr>
      <w:i/>
      <w:iCs/>
      <w:color w:val="44546A" w:themeColor="text2"/>
      <w:sz w:val="18"/>
      <w:szCs w:val="18"/>
    </w:rPr>
  </w:style>
  <w:style w:type="paragraph" w:styleId="Odsekzoznamu">
    <w:name w:val="List Paragraph"/>
    <w:basedOn w:val="Normlny"/>
    <w:uiPriority w:val="34"/>
    <w:qFormat/>
    <w:rsid w:val="00681BCD"/>
    <w:pPr>
      <w:ind w:left="720"/>
      <w:contextualSpacing/>
    </w:pPr>
  </w:style>
  <w:style w:type="table" w:styleId="Mriekatabuky">
    <w:name w:val="Table Grid"/>
    <w:basedOn w:val="Normlnatabuka"/>
    <w:uiPriority w:val="39"/>
    <w:rsid w:val="006407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AC428D"/>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AC428D"/>
  </w:style>
  <w:style w:type="character" w:customStyle="1" w:styleId="eop">
    <w:name w:val="eop"/>
    <w:basedOn w:val="Predvolenpsmoodseku"/>
    <w:rsid w:val="00AC428D"/>
  </w:style>
  <w:style w:type="paragraph" w:styleId="Hlavika">
    <w:name w:val="header"/>
    <w:basedOn w:val="Normlny"/>
    <w:link w:val="HlavikaChar"/>
    <w:uiPriority w:val="99"/>
    <w:unhideWhenUsed/>
    <w:rsid w:val="00581C2E"/>
    <w:pPr>
      <w:tabs>
        <w:tab w:val="center" w:pos="4680"/>
        <w:tab w:val="right" w:pos="9360"/>
      </w:tabs>
      <w:spacing w:after="0"/>
    </w:pPr>
  </w:style>
  <w:style w:type="character" w:customStyle="1" w:styleId="HlavikaChar">
    <w:name w:val="Hlavička Char"/>
    <w:basedOn w:val="Predvolenpsmoodseku"/>
    <w:link w:val="Hlavika"/>
    <w:uiPriority w:val="99"/>
    <w:rsid w:val="00581C2E"/>
    <w:rPr>
      <w:lang w:val="sk-SK"/>
    </w:rPr>
  </w:style>
  <w:style w:type="paragraph" w:styleId="Pta">
    <w:name w:val="footer"/>
    <w:basedOn w:val="Normlny"/>
    <w:link w:val="PtaChar"/>
    <w:uiPriority w:val="99"/>
    <w:unhideWhenUsed/>
    <w:rsid w:val="00581C2E"/>
    <w:pPr>
      <w:tabs>
        <w:tab w:val="center" w:pos="4680"/>
        <w:tab w:val="right" w:pos="9360"/>
      </w:tabs>
      <w:spacing w:after="0"/>
    </w:pPr>
  </w:style>
  <w:style w:type="character" w:customStyle="1" w:styleId="PtaChar">
    <w:name w:val="Päta Char"/>
    <w:basedOn w:val="Predvolenpsmoodseku"/>
    <w:link w:val="Pta"/>
    <w:uiPriority w:val="99"/>
    <w:rsid w:val="00581C2E"/>
    <w:rPr>
      <w:lang w:val="sk-SK"/>
    </w:rPr>
  </w:style>
  <w:style w:type="paragraph" w:styleId="Revzia">
    <w:name w:val="Revision"/>
    <w:hidden/>
    <w:uiPriority w:val="99"/>
    <w:semiHidden/>
    <w:rsid w:val="008E3569"/>
    <w:pPr>
      <w:spacing w:after="0"/>
      <w:ind w:left="0" w:firstLine="0"/>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6262">
      <w:bodyDiv w:val="1"/>
      <w:marLeft w:val="0"/>
      <w:marRight w:val="0"/>
      <w:marTop w:val="0"/>
      <w:marBottom w:val="0"/>
      <w:divBdr>
        <w:top w:val="none" w:sz="0" w:space="0" w:color="auto"/>
        <w:left w:val="none" w:sz="0" w:space="0" w:color="auto"/>
        <w:bottom w:val="none" w:sz="0" w:space="0" w:color="auto"/>
        <w:right w:val="none" w:sz="0" w:space="0" w:color="auto"/>
      </w:divBdr>
    </w:div>
    <w:div w:id="84427932">
      <w:bodyDiv w:val="1"/>
      <w:marLeft w:val="0"/>
      <w:marRight w:val="0"/>
      <w:marTop w:val="0"/>
      <w:marBottom w:val="0"/>
      <w:divBdr>
        <w:top w:val="none" w:sz="0" w:space="0" w:color="auto"/>
        <w:left w:val="none" w:sz="0" w:space="0" w:color="auto"/>
        <w:bottom w:val="none" w:sz="0" w:space="0" w:color="auto"/>
        <w:right w:val="none" w:sz="0" w:space="0" w:color="auto"/>
      </w:divBdr>
    </w:div>
    <w:div w:id="191577623">
      <w:bodyDiv w:val="1"/>
      <w:marLeft w:val="0"/>
      <w:marRight w:val="0"/>
      <w:marTop w:val="0"/>
      <w:marBottom w:val="0"/>
      <w:divBdr>
        <w:top w:val="none" w:sz="0" w:space="0" w:color="auto"/>
        <w:left w:val="none" w:sz="0" w:space="0" w:color="auto"/>
        <w:bottom w:val="none" w:sz="0" w:space="0" w:color="auto"/>
        <w:right w:val="none" w:sz="0" w:space="0" w:color="auto"/>
      </w:divBdr>
    </w:div>
    <w:div w:id="195970198">
      <w:bodyDiv w:val="1"/>
      <w:marLeft w:val="0"/>
      <w:marRight w:val="0"/>
      <w:marTop w:val="0"/>
      <w:marBottom w:val="0"/>
      <w:divBdr>
        <w:top w:val="none" w:sz="0" w:space="0" w:color="auto"/>
        <w:left w:val="none" w:sz="0" w:space="0" w:color="auto"/>
        <w:bottom w:val="none" w:sz="0" w:space="0" w:color="auto"/>
        <w:right w:val="none" w:sz="0" w:space="0" w:color="auto"/>
      </w:divBdr>
    </w:div>
    <w:div w:id="664431917">
      <w:bodyDiv w:val="1"/>
      <w:marLeft w:val="0"/>
      <w:marRight w:val="0"/>
      <w:marTop w:val="0"/>
      <w:marBottom w:val="0"/>
      <w:divBdr>
        <w:top w:val="none" w:sz="0" w:space="0" w:color="auto"/>
        <w:left w:val="none" w:sz="0" w:space="0" w:color="auto"/>
        <w:bottom w:val="none" w:sz="0" w:space="0" w:color="auto"/>
        <w:right w:val="none" w:sz="0" w:space="0" w:color="auto"/>
      </w:divBdr>
    </w:div>
    <w:div w:id="678701162">
      <w:bodyDiv w:val="1"/>
      <w:marLeft w:val="0"/>
      <w:marRight w:val="0"/>
      <w:marTop w:val="0"/>
      <w:marBottom w:val="0"/>
      <w:divBdr>
        <w:top w:val="none" w:sz="0" w:space="0" w:color="auto"/>
        <w:left w:val="none" w:sz="0" w:space="0" w:color="auto"/>
        <w:bottom w:val="none" w:sz="0" w:space="0" w:color="auto"/>
        <w:right w:val="none" w:sz="0" w:space="0" w:color="auto"/>
      </w:divBdr>
    </w:div>
    <w:div w:id="771631769">
      <w:bodyDiv w:val="1"/>
      <w:marLeft w:val="0"/>
      <w:marRight w:val="0"/>
      <w:marTop w:val="0"/>
      <w:marBottom w:val="0"/>
      <w:divBdr>
        <w:top w:val="none" w:sz="0" w:space="0" w:color="auto"/>
        <w:left w:val="none" w:sz="0" w:space="0" w:color="auto"/>
        <w:bottom w:val="none" w:sz="0" w:space="0" w:color="auto"/>
        <w:right w:val="none" w:sz="0" w:space="0" w:color="auto"/>
      </w:divBdr>
    </w:div>
    <w:div w:id="1095055739">
      <w:bodyDiv w:val="1"/>
      <w:marLeft w:val="0"/>
      <w:marRight w:val="0"/>
      <w:marTop w:val="0"/>
      <w:marBottom w:val="0"/>
      <w:divBdr>
        <w:top w:val="none" w:sz="0" w:space="0" w:color="auto"/>
        <w:left w:val="none" w:sz="0" w:space="0" w:color="auto"/>
        <w:bottom w:val="none" w:sz="0" w:space="0" w:color="auto"/>
        <w:right w:val="none" w:sz="0" w:space="0" w:color="auto"/>
      </w:divBdr>
    </w:div>
    <w:div w:id="1127551032">
      <w:bodyDiv w:val="1"/>
      <w:marLeft w:val="0"/>
      <w:marRight w:val="0"/>
      <w:marTop w:val="0"/>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705955668">
              <w:marLeft w:val="0"/>
              <w:marRight w:val="0"/>
              <w:marTop w:val="0"/>
              <w:marBottom w:val="0"/>
              <w:divBdr>
                <w:top w:val="none" w:sz="0" w:space="0" w:color="auto"/>
                <w:left w:val="none" w:sz="0" w:space="0" w:color="auto"/>
                <w:bottom w:val="none" w:sz="0" w:space="0" w:color="auto"/>
                <w:right w:val="none" w:sz="0" w:space="0" w:color="auto"/>
              </w:divBdr>
            </w:div>
          </w:divsChild>
        </w:div>
        <w:div w:id="1942371126">
          <w:marLeft w:val="0"/>
          <w:marRight w:val="0"/>
          <w:marTop w:val="0"/>
          <w:marBottom w:val="0"/>
          <w:divBdr>
            <w:top w:val="none" w:sz="0" w:space="0" w:color="auto"/>
            <w:left w:val="none" w:sz="0" w:space="0" w:color="auto"/>
            <w:bottom w:val="none" w:sz="0" w:space="0" w:color="auto"/>
            <w:right w:val="none" w:sz="0" w:space="0" w:color="auto"/>
          </w:divBdr>
          <w:divsChild>
            <w:div w:id="1940943266">
              <w:marLeft w:val="0"/>
              <w:marRight w:val="0"/>
              <w:marTop w:val="0"/>
              <w:marBottom w:val="0"/>
              <w:divBdr>
                <w:top w:val="none" w:sz="0" w:space="0" w:color="auto"/>
                <w:left w:val="none" w:sz="0" w:space="0" w:color="auto"/>
                <w:bottom w:val="none" w:sz="0" w:space="0" w:color="auto"/>
                <w:right w:val="none" w:sz="0" w:space="0" w:color="auto"/>
              </w:divBdr>
            </w:div>
          </w:divsChild>
        </w:div>
        <w:div w:id="288705386">
          <w:marLeft w:val="0"/>
          <w:marRight w:val="0"/>
          <w:marTop w:val="0"/>
          <w:marBottom w:val="0"/>
          <w:divBdr>
            <w:top w:val="none" w:sz="0" w:space="0" w:color="auto"/>
            <w:left w:val="none" w:sz="0" w:space="0" w:color="auto"/>
            <w:bottom w:val="none" w:sz="0" w:space="0" w:color="auto"/>
            <w:right w:val="none" w:sz="0" w:space="0" w:color="auto"/>
          </w:divBdr>
          <w:divsChild>
            <w:div w:id="250822160">
              <w:marLeft w:val="0"/>
              <w:marRight w:val="0"/>
              <w:marTop w:val="0"/>
              <w:marBottom w:val="0"/>
              <w:divBdr>
                <w:top w:val="none" w:sz="0" w:space="0" w:color="auto"/>
                <w:left w:val="none" w:sz="0" w:space="0" w:color="auto"/>
                <w:bottom w:val="none" w:sz="0" w:space="0" w:color="auto"/>
                <w:right w:val="none" w:sz="0" w:space="0" w:color="auto"/>
              </w:divBdr>
            </w:div>
          </w:divsChild>
        </w:div>
        <w:div w:id="117991920">
          <w:marLeft w:val="0"/>
          <w:marRight w:val="0"/>
          <w:marTop w:val="0"/>
          <w:marBottom w:val="0"/>
          <w:divBdr>
            <w:top w:val="none" w:sz="0" w:space="0" w:color="auto"/>
            <w:left w:val="none" w:sz="0" w:space="0" w:color="auto"/>
            <w:bottom w:val="none" w:sz="0" w:space="0" w:color="auto"/>
            <w:right w:val="none" w:sz="0" w:space="0" w:color="auto"/>
          </w:divBdr>
          <w:divsChild>
            <w:div w:id="12492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1933">
      <w:bodyDiv w:val="1"/>
      <w:marLeft w:val="0"/>
      <w:marRight w:val="0"/>
      <w:marTop w:val="0"/>
      <w:marBottom w:val="0"/>
      <w:divBdr>
        <w:top w:val="none" w:sz="0" w:space="0" w:color="auto"/>
        <w:left w:val="none" w:sz="0" w:space="0" w:color="auto"/>
        <w:bottom w:val="none" w:sz="0" w:space="0" w:color="auto"/>
        <w:right w:val="none" w:sz="0" w:space="0" w:color="auto"/>
      </w:divBdr>
    </w:div>
    <w:div w:id="1272318905">
      <w:bodyDiv w:val="1"/>
      <w:marLeft w:val="0"/>
      <w:marRight w:val="0"/>
      <w:marTop w:val="0"/>
      <w:marBottom w:val="0"/>
      <w:divBdr>
        <w:top w:val="none" w:sz="0" w:space="0" w:color="auto"/>
        <w:left w:val="none" w:sz="0" w:space="0" w:color="auto"/>
        <w:bottom w:val="none" w:sz="0" w:space="0" w:color="auto"/>
        <w:right w:val="none" w:sz="0" w:space="0" w:color="auto"/>
      </w:divBdr>
    </w:div>
    <w:div w:id="1306545178">
      <w:bodyDiv w:val="1"/>
      <w:marLeft w:val="0"/>
      <w:marRight w:val="0"/>
      <w:marTop w:val="0"/>
      <w:marBottom w:val="0"/>
      <w:divBdr>
        <w:top w:val="none" w:sz="0" w:space="0" w:color="auto"/>
        <w:left w:val="none" w:sz="0" w:space="0" w:color="auto"/>
        <w:bottom w:val="none" w:sz="0" w:space="0" w:color="auto"/>
        <w:right w:val="none" w:sz="0" w:space="0" w:color="auto"/>
      </w:divBdr>
    </w:div>
    <w:div w:id="1434352223">
      <w:bodyDiv w:val="1"/>
      <w:marLeft w:val="0"/>
      <w:marRight w:val="0"/>
      <w:marTop w:val="0"/>
      <w:marBottom w:val="0"/>
      <w:divBdr>
        <w:top w:val="none" w:sz="0" w:space="0" w:color="auto"/>
        <w:left w:val="none" w:sz="0" w:space="0" w:color="auto"/>
        <w:bottom w:val="none" w:sz="0" w:space="0" w:color="auto"/>
        <w:right w:val="none" w:sz="0" w:space="0" w:color="auto"/>
      </w:divBdr>
    </w:div>
    <w:div w:id="1523275301">
      <w:bodyDiv w:val="1"/>
      <w:marLeft w:val="0"/>
      <w:marRight w:val="0"/>
      <w:marTop w:val="0"/>
      <w:marBottom w:val="0"/>
      <w:divBdr>
        <w:top w:val="none" w:sz="0" w:space="0" w:color="auto"/>
        <w:left w:val="none" w:sz="0" w:space="0" w:color="auto"/>
        <w:bottom w:val="none" w:sz="0" w:space="0" w:color="auto"/>
        <w:right w:val="none" w:sz="0" w:space="0" w:color="auto"/>
      </w:divBdr>
    </w:div>
    <w:div w:id="1609703763">
      <w:bodyDiv w:val="1"/>
      <w:marLeft w:val="0"/>
      <w:marRight w:val="0"/>
      <w:marTop w:val="0"/>
      <w:marBottom w:val="0"/>
      <w:divBdr>
        <w:top w:val="none" w:sz="0" w:space="0" w:color="auto"/>
        <w:left w:val="none" w:sz="0" w:space="0" w:color="auto"/>
        <w:bottom w:val="none" w:sz="0" w:space="0" w:color="auto"/>
        <w:right w:val="none" w:sz="0" w:space="0" w:color="auto"/>
      </w:divBdr>
    </w:div>
    <w:div w:id="1619019857">
      <w:bodyDiv w:val="1"/>
      <w:marLeft w:val="0"/>
      <w:marRight w:val="0"/>
      <w:marTop w:val="0"/>
      <w:marBottom w:val="0"/>
      <w:divBdr>
        <w:top w:val="none" w:sz="0" w:space="0" w:color="auto"/>
        <w:left w:val="none" w:sz="0" w:space="0" w:color="auto"/>
        <w:bottom w:val="none" w:sz="0" w:space="0" w:color="auto"/>
        <w:right w:val="none" w:sz="0" w:space="0" w:color="auto"/>
      </w:divBdr>
    </w:div>
    <w:div w:id="1691377246">
      <w:bodyDiv w:val="1"/>
      <w:marLeft w:val="0"/>
      <w:marRight w:val="0"/>
      <w:marTop w:val="0"/>
      <w:marBottom w:val="0"/>
      <w:divBdr>
        <w:top w:val="none" w:sz="0" w:space="0" w:color="auto"/>
        <w:left w:val="none" w:sz="0" w:space="0" w:color="auto"/>
        <w:bottom w:val="none" w:sz="0" w:space="0" w:color="auto"/>
        <w:right w:val="none" w:sz="0" w:space="0" w:color="auto"/>
      </w:divBdr>
    </w:div>
    <w:div w:id="1738742474">
      <w:bodyDiv w:val="1"/>
      <w:marLeft w:val="0"/>
      <w:marRight w:val="0"/>
      <w:marTop w:val="0"/>
      <w:marBottom w:val="0"/>
      <w:divBdr>
        <w:top w:val="none" w:sz="0" w:space="0" w:color="auto"/>
        <w:left w:val="none" w:sz="0" w:space="0" w:color="auto"/>
        <w:bottom w:val="none" w:sz="0" w:space="0" w:color="auto"/>
        <w:right w:val="none" w:sz="0" w:space="0" w:color="auto"/>
      </w:divBdr>
    </w:div>
    <w:div w:id="1885749589">
      <w:bodyDiv w:val="1"/>
      <w:marLeft w:val="0"/>
      <w:marRight w:val="0"/>
      <w:marTop w:val="0"/>
      <w:marBottom w:val="0"/>
      <w:divBdr>
        <w:top w:val="none" w:sz="0" w:space="0" w:color="auto"/>
        <w:left w:val="none" w:sz="0" w:space="0" w:color="auto"/>
        <w:bottom w:val="none" w:sz="0" w:space="0" w:color="auto"/>
        <w:right w:val="none" w:sz="0" w:space="0" w:color="auto"/>
      </w:divBdr>
    </w:div>
    <w:div w:id="1914122002">
      <w:bodyDiv w:val="1"/>
      <w:marLeft w:val="0"/>
      <w:marRight w:val="0"/>
      <w:marTop w:val="0"/>
      <w:marBottom w:val="0"/>
      <w:divBdr>
        <w:top w:val="none" w:sz="0" w:space="0" w:color="auto"/>
        <w:left w:val="none" w:sz="0" w:space="0" w:color="auto"/>
        <w:bottom w:val="none" w:sz="0" w:space="0" w:color="auto"/>
        <w:right w:val="none" w:sz="0" w:space="0" w:color="auto"/>
      </w:divBdr>
    </w:div>
    <w:div w:id="1939216775">
      <w:bodyDiv w:val="1"/>
      <w:marLeft w:val="0"/>
      <w:marRight w:val="0"/>
      <w:marTop w:val="0"/>
      <w:marBottom w:val="0"/>
      <w:divBdr>
        <w:top w:val="none" w:sz="0" w:space="0" w:color="auto"/>
        <w:left w:val="none" w:sz="0" w:space="0" w:color="auto"/>
        <w:bottom w:val="none" w:sz="0" w:space="0" w:color="auto"/>
        <w:right w:val="none" w:sz="0" w:space="0" w:color="auto"/>
      </w:divBdr>
    </w:div>
    <w:div w:id="20383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EB1220EC3AD45AE92E95EB5B7ECF8" ma:contentTypeVersion="15" ma:contentTypeDescription="Create a new document." ma:contentTypeScope="" ma:versionID="ffb7ec0f37907f75df798b968558d914">
  <xsd:schema xmlns:xsd="http://www.w3.org/2001/XMLSchema" xmlns:xs="http://www.w3.org/2001/XMLSchema" xmlns:p="http://schemas.microsoft.com/office/2006/metadata/properties" xmlns:ns2="7a3427f1-4188-4ffc-b15e-218ce01db3c1" xmlns:ns3="1b9f6857-c0de-4c8c-9943-42dab1d6901a" targetNamespace="http://schemas.microsoft.com/office/2006/metadata/properties" ma:root="true" ma:fieldsID="550f46a7ecb97e6d228f75090b356672" ns2:_="" ns3:_="">
    <xsd:import namespace="7a3427f1-4188-4ffc-b15e-218ce01db3c1"/>
    <xsd:import namespace="1b9f6857-c0de-4c8c-9943-42dab1d690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427f1-4188-4ffc-b15e-218ce01db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3792f3-5b38-4311-ac24-b03b8e669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f6857-c0de-4c8c-9943-42dab1d69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1dc1cd-cd6e-45df-b7e8-55e7d5b3f715}" ma:internalName="TaxCatchAll" ma:showField="CatchAllData" ma:web="1b9f6857-c0de-4c8c-9943-42dab1d69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a3427f1-4188-4ffc-b15e-218ce01db3c1" xsi:nil="true"/>
    <SharedWithUsers xmlns="1b9f6857-c0de-4c8c-9943-42dab1d6901a">
      <UserInfo>
        <DisplayName/>
        <AccountId xsi:nil="true"/>
        <AccountType/>
      </UserInfo>
    </SharedWithUsers>
    <lcf76f155ced4ddcb4097134ff3c332f xmlns="7a3427f1-4188-4ffc-b15e-218ce01db3c1">
      <Terms xmlns="http://schemas.microsoft.com/office/infopath/2007/PartnerControls"/>
    </lcf76f155ced4ddcb4097134ff3c332f>
    <TaxCatchAll xmlns="1b9f6857-c0de-4c8c-9943-42dab1d690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D00D-9097-4CEE-B099-50A5D79F97DE}"/>
</file>

<file path=customXml/itemProps2.xml><?xml version="1.0" encoding="utf-8"?>
<ds:datastoreItem xmlns:ds="http://schemas.openxmlformats.org/officeDocument/2006/customXml" ds:itemID="{ABA04750-C495-402A-B2B2-BEFE0137EF44}">
  <ds:schemaRefs>
    <ds:schemaRef ds:uri="http://schemas.microsoft.com/sharepoint/v3/contenttype/forms"/>
  </ds:schemaRefs>
</ds:datastoreItem>
</file>

<file path=customXml/itemProps3.xml><?xml version="1.0" encoding="utf-8"?>
<ds:datastoreItem xmlns:ds="http://schemas.openxmlformats.org/officeDocument/2006/customXml" ds:itemID="{2C630F20-4346-40C5-B8EB-DA6EC2A1E331}">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7a3427f1-4188-4ffc-b15e-218ce01db3c1"/>
    <ds:schemaRef ds:uri="http://purl.org/dc/dcmitype/"/>
  </ds:schemaRefs>
</ds:datastoreItem>
</file>

<file path=customXml/itemProps4.xml><?xml version="1.0" encoding="utf-8"?>
<ds:datastoreItem xmlns:ds="http://schemas.openxmlformats.org/officeDocument/2006/customXml" ds:itemID="{B9C889A8-6154-4003-BBD1-27C80826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1323</Words>
  <Characters>7545</Characters>
  <Application>Microsoft Office Word</Application>
  <DocSecurity>0</DocSecurity>
  <Lines>62</Lines>
  <Paragraphs>17</Paragraphs>
  <ScaleCrop>false</ScaleCrop>
  <HeadingPairs>
    <vt:vector size="6" baseType="variant">
      <vt:variant>
        <vt:lpstr>Názov</vt:lpstr>
      </vt:variant>
      <vt:variant>
        <vt:i4>1</vt:i4>
      </vt:variant>
      <vt:variant>
        <vt:lpstr>Nadpisy</vt:lpstr>
      </vt:variant>
      <vt:variant>
        <vt:i4>5</vt:i4>
      </vt:variant>
      <vt:variant>
        <vt:lpstr>Title</vt:lpstr>
      </vt:variant>
      <vt:variant>
        <vt:i4>1</vt:i4>
      </vt:variant>
    </vt:vector>
  </HeadingPairs>
  <TitlesOfParts>
    <vt:vector size="7" baseType="lpstr">
      <vt:lpstr/>
      <vt:lpstr>M15.506. Poskytovanie nenávratných finančných výpomoci – následné kontroly</vt:lpstr>
      <vt:lpstr>    Popis procesu </vt:lpstr>
      <vt:lpstr>Roly a aktivity</vt:lpstr>
      <vt:lpstr>    Tabuľka rolí a aktivít</vt:lpstr>
      <vt:lpstr>Business workflow</vt: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Meltsok</dc:creator>
  <cp:keywords/>
  <dc:description/>
  <cp:lastModifiedBy>Peter Kubosek</cp:lastModifiedBy>
  <cp:revision>19</cp:revision>
  <dcterms:created xsi:type="dcterms:W3CDTF">2022-03-16T06:49:00Z</dcterms:created>
  <dcterms:modified xsi:type="dcterms:W3CDTF">2022-04-13T06:14:00Z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0x010100A28EB1220EC3AD45AE92E95EB5B7ECF8</vt:lpwstr>
  </property>
  <property fmtid="{D5CDD505-2E9C-101B-9397-08002B2CF9AE}" pid="3" name="Order">
    <vt:r8>514100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